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ContentType="application/vnd.openxmlformats-officedocument.customXmlProperties+xml" PartName="/customXml/itemProps1.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endnotes+xml" PartName="/word/endnotes.xml"/>
  <Override ContentType="application/vnd.openxmlformats-officedocument.wordprocessingml.fontTable+xml" PartName="/word/fontTable.xml"/>
  <Override ContentType="application/vnd.openxmlformats-officedocument.wordprocessingml.footer+xml" PartName="/word/footer1.xml"/>
  <Override ContentType="application/vnd.openxmlformats-officedocument.wordprocessingml.footer+xml" PartName="/word/footer2.xml"/>
  <Override ContentType="application/vnd.openxmlformats-officedocument.wordprocessingml.footer+xml" PartName="/word/footer3.xml"/>
  <Override ContentType="application/vnd.openxmlformats-officedocument.wordprocessingml.footer+xml" PartName="/word/footer4.xml"/>
  <Override ContentType="application/vnd.openxmlformats-officedocument.wordprocessingml.footer+xml" PartName="/word/footer5.xml"/>
  <Override ContentType="application/vnd.openxmlformats-officedocument.wordprocessingml.footer+xml" PartName="/word/footer6.xml"/>
  <Override ContentType="application/vnd.openxmlformats-officedocument.wordprocessingml.footer+xml" PartName="/word/footer7.xml"/>
  <Override ContentType="application/vnd.openxmlformats-officedocument.wordprocessingml.footer+xml" PartName="/word/footer8.xml"/>
  <Override ContentType="application/vnd.openxmlformats-officedocument.wordprocessingml.footer+xml" PartName="/word/footer9.xml"/>
  <Override ContentType="application/vnd.openxmlformats-officedocument.wordprocessingml.footnotes+xml" PartName="/word/footnotes.xml"/>
  <Override ContentType="application/vnd.openxmlformats-officedocument.wordprocessingml.header+xml" PartName="/word/header1.xml"/>
  <Override ContentType="application/vnd.openxmlformats-officedocument.wordprocessingml.header+xml" PartName="/word/header10.xml"/>
  <Override ContentType="application/vnd.openxmlformats-officedocument.wordprocessingml.header+xml" PartName="/word/header11.xml"/>
  <Override ContentType="application/vnd.openxmlformats-officedocument.wordprocessingml.header+xml" PartName="/word/header12.xml"/>
  <Override ContentType="application/vnd.openxmlformats-officedocument.wordprocessingml.header+xml" PartName="/word/header2.xml"/>
  <Override ContentType="application/vnd.openxmlformats-officedocument.wordprocessingml.header+xml" PartName="/word/header3.xml"/>
  <Override ContentType="application/vnd.openxmlformats-officedocument.wordprocessingml.header+xml" PartName="/word/header4.xml"/>
  <Override ContentType="application/vnd.openxmlformats-officedocument.wordprocessingml.header+xml" PartName="/word/header5.xml"/>
  <Override ContentType="application/vnd.openxmlformats-officedocument.wordprocessingml.header+xml" PartName="/word/header6.xml"/>
  <Override ContentType="application/vnd.openxmlformats-officedocument.wordprocessingml.header+xml" PartName="/word/header7.xml"/>
  <Override ContentType="application/vnd.openxmlformats-officedocument.wordprocessingml.header+xml" PartName="/word/header8.xml"/>
  <Override ContentType="application/vnd.openxmlformats-officedocument.wordprocessingml.header+xml" PartName="/word/header9.xml"/>
  <Override ContentType="image/png" PartName="/word/media/document_image_rId31.png"/>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theme+xml" PartName="/word/theme/theme1.xml"/>
  <Override ContentType="application/vnd.openxmlformats-officedocument.wordprocessingml.webSettings+xml" PartName="/word/webSettings.xml"/>
</Types>
</file>

<file path=_rels/.rels><?xml version="1.0" encoding="UTF-8"?><Relationships xmlns="http://schemas.openxmlformats.org/package/2006/relationships"><Relationship Target="docProps/app.xml" Type="http://schemas.openxmlformats.org/officeDocument/2006/relationships/extended-properties" Id="rId3"></Relationship><Relationship Target="docProps/core.xml" Type="http://schemas.openxmlformats.org/package/2006/relationships/metadata/core-properties" Id="rId2"></Relationship><Relationship Target="word/document.xml" Type="http://schemas.openxmlformats.org/officeDocument/2006/relationships/officeDocument" Id="rId1"></Relationship></Relationships>
</file>

<file path=word/document.xml><?xml version="1.0" encoding="utf-8"?>
<w:document xmlns:w="http://schemas.openxmlformats.org/wordprocessingml/2006/main" xmlns:w14="http://schemas.microsoft.com/office/word/2010/wordml" xmlns:r="http://schemas.openxmlformats.org/officeDocument/2006/relationships" xmlns:m="http://schemas.openxmlformats.org/officeDocument/2006/math" xmlns:w15="http://schemas.microsoft.com/office/word/2012/wordml" xmlns:ns27="http://schemas.openxmlformats.org/schemaLibrary/2006/main" xmlns:mc="http://schemas.openxmlformats.org/markup-compatibility/2006" xmlns:wp="http://schemas.openxmlformats.org/drawingml/2006/wordprocessingDrawing" xmlns:a="http://schemas.openxmlformats.org/drawingml/2006/main" mc:Ignorable="w14 w15">
  <w:body>
    <w:p w14:paraId="97fde8d3" w14:textId="97fde8d3">
      <w:pPr>
        <w:pStyle w:val="Heading1"/>
        <w15:collapsed w:val="false"/>
        <w:rPr>
          <w:rFonts w:ascii="Calibri" w:hAnsi="Calibri"/>
          <w:b w:val="false"/>
          <w:color w:val="auto"/>
          <w:sz w:val="22"/>
          <w:szCs w:val="22"/>
        </w:rPr>
      </w:pPr>
      <w:r>
        <w:rPr>
          <w:b/>
        </w:rPr>
        <w:drawing>
          <wp:inline distT="0" distB="0" distL="0" distR="0">
            <wp:extent cx="5943600" cy="7717979"/>
            <wp:effectExtent l="0" t="0" r="0" b="0"/>
            <wp:docPr id="0" name="" descr=""/>
            <wp:cNvGraphicFramePr>
              <a:graphicFrameLocks noChangeAspect="true"/>
            </wp:cNvGraphicFramePr>
            <a:graphic>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43600" cy="7717979"/>
                    </a:xfrm>
                    <a:prstGeom prst="rect">
                      <a:avLst/>
                    </a:prstGeom>
                  </pic:spPr>
                </pic:pic>
              </a:graphicData>
            </a:graphic>
          </wp:inline>
        </w:drawing>
        <w:br/>
        <w:t/>
      </w:r>
    </w:p>
    <w:p/>
    <w:p>
      <w:pPr>
        <w:spacing w:beforeAutospacing="true" w:afterAutospacing="true"/>
        <w:rPr>
          <w:rFonts w:cs="Arial"/>
        </w:rPr>
      </w:pPr>
      <w:r>
        <w:rPr>
          <w:rFonts w:cs="Arial"/>
        </w:rPr>
        <w:t xml:space="preserve">South Jordan hereby submits an amendment to their 2020 action planWest Jordan City hereby submits an amendment to their 2020 action PlanSalt Lake County sf forms have been updatedTaylorsville submitted and update</w:t>
      </w:r>
    </w:p>
    <w:p/>
    <w:p>
      <w:pPr>
        <w:pStyle w:val="Heading1"/>
        <w:jc w:val="center"/>
        <w:rPr>
          <w:rFonts w:ascii="Calibri" w:hAnsi="Calibri"/>
          <w:color w:val="auto"/>
          <w:sz w:val="32"/>
          <w:szCs w:val="32"/>
        </w:rPr>
      </w:pPr>
      <w:r>
        <w:rPr>
          <w:rFonts w:ascii="Calibri" w:hAnsi="Calibri"/>
          <w:color w:val="auto"/>
          <w:sz w:val="32"/>
          <w:szCs w:val="32"/>
        </w:rPr>
        <w:t xml:space="preserve">Executive Summary </w:t>
      </w:r>
    </w:p>
    <w:p>
      <w:pPr>
        <w:pStyle w:val="Heading2"/>
        <w:rPr>
          <w:rFonts w:ascii="Calibri" w:hAnsi="Calibri"/>
          <w:i w:val="false"/>
        </w:rPr>
      </w:pPr>
      <w:r>
        <w:rPr>
          <w:rFonts w:ascii="Calibri" w:hAnsi="Calibri"/>
          <w:i w:val="false"/>
        </w:rPr>
        <w:t>ES-05 Executive Summary – 24 CFR 91.200(c), 91.220(b)</w:t>
      </w:r>
    </w:p>
    <w:p>
      <w:pPr>
        <w:rPr>
          <w:b/>
          <w:sz w:val="24"/>
          <w:szCs w:val="24"/>
        </w:rPr>
      </w:pPr>
      <w:r>
        <w:rPr>
          <w:b/>
          <w:sz w:val="24"/>
          <w:szCs w:val="24"/>
        </w:rPr>
        <w:t>1.</w:t>
        <w:tab/>
        <w:t>Introduction</w:t>
      </w:r>
    </w:p>
    <w:p>
      <w:pPr>
        <w:pStyle w:val="Heading1"/>
        <w:spacing w:beforeAutospacing="true" w:afterAutospacing="true"/>
        <w:rPr>
          <w:rFonts w:cs="Arial"/>
        </w:rPr>
      </w:pPr>
      <w:r>
        <w:rPr>
          <w:rFonts w:cs="Arial"/>
        </w:rPr>
        <w:t xml:space="preserve">This document contains the Five Year Plan for the Salt Lake County Consortium. It also includes first year action that describes the allocation of CDBG, HOME and ESG funds for 2020. The U.S. Department of Housing and Urban development requires any communities that receive any of the following grants to complete a Consolidated Plan.</w:t>
      </w:r>
    </w:p>
    <w:p>
      <w:pPr>
        <w:numPr>
          <w:ilvl w:val="0"/>
          <w:numId w:val="3"/>
        </w:numPr>
        <w:spacing w:beforeAutospacing="true" w:afterAutospacing="true"/>
        <w:rPr>
          <w:rFonts w:cs="Arial"/>
        </w:rPr>
      </w:pPr>
      <w:r>
        <w:rPr>
          <w:rFonts w:cs="Arial"/>
        </w:rPr>
        <w:t xml:space="preserve">Community Development Block Grant (CDBG)</w:t>
      </w:r>
    </w:p>
    <w:p>
      <w:pPr>
        <w:numPr>
          <w:ilvl w:val="0"/>
          <w:numId w:val="3"/>
        </w:numPr>
        <w:spacing w:beforeAutospacing="true" w:afterAutospacing="true"/>
        <w:rPr>
          <w:rFonts w:cs="Arial"/>
        </w:rPr>
      </w:pPr>
      <w:r>
        <w:rPr>
          <w:rFonts w:cs="Arial"/>
        </w:rPr>
        <w:t xml:space="preserve">HOME Investment Partnership Grant Funds</w:t>
      </w:r>
    </w:p>
    <w:p>
      <w:pPr>
        <w:numPr>
          <w:ilvl w:val="0"/>
          <w:numId w:val="3"/>
        </w:numPr>
        <w:spacing w:beforeAutospacing="true" w:afterAutospacing="true"/>
        <w:rPr>
          <w:rFonts w:cs="Arial"/>
        </w:rPr>
      </w:pPr>
      <w:r>
        <w:rPr>
          <w:rFonts w:cs="Arial"/>
        </w:rPr>
        <w:t xml:space="preserve">Emergency Solutions Grant (ESG)</w:t>
      </w:r>
    </w:p>
    <w:p>
      <w:pPr>
        <w:spacing w:beforeAutospacing="true" w:afterAutospacing="true"/>
        <w:rPr>
          <w:rFonts w:cs="Arial"/>
        </w:rPr>
      </w:pPr>
      <w:r>
        <w:rPr>
          <w:rFonts w:cs="Arial"/>
        </w:rPr>
        <w:t xml:space="preserve"> </w:t>
      </w:r>
    </w:p>
    <w:p>
      <w:pPr>
        <w:spacing w:beforeAutospacing="true" w:afterAutospacing="true"/>
        <w:rPr>
          <w:rFonts w:cs="Arial"/>
        </w:rPr>
      </w:pPr>
      <w:r>
        <w:rPr>
          <w:rFonts w:cs="Arial"/>
        </w:rPr>
        <w:t xml:space="preserve">This Annual Action Plan reviews the needs of Salt Lake County and details how the Salt Lake County Consortium has allocated CDBG, HOME, and ESG funding to meet some of those needs.</w:t>
      </w:r>
    </w:p>
    <w:p>
      <w:pPr>
        <w:spacing w:beforeAutospacing="true" w:afterAutospacing="true"/>
        <w:rPr>
          <w:rFonts w:cs="Arial"/>
        </w:rPr>
      </w:pPr>
      <w:r>
        <w:rPr>
          <w:rFonts w:cs="Arial"/>
        </w:rPr>
        <w:t xml:space="preserve">URBAN COUNTY</w:t>
      </w:r>
      <w:r>
        <w:rPr>
          <w:rFonts w:cs="Arial"/>
        </w:rPr>
        <w:t xml:space="preserve">            </w:t>
      </w:r>
    </w:p>
    <w:p>
      <w:pPr>
        <w:spacing w:beforeAutospacing="true" w:afterAutospacing="true"/>
        <w:rPr>
          <w:rFonts w:cs="Arial"/>
        </w:rPr>
      </w:pPr>
      <w:r>
        <w:rPr>
          <w:rFonts w:cs="Arial"/>
        </w:rPr>
        <w:t xml:space="preserve">Salt Lake Urban County includes unincorporated Salt Lake County and the cities of Alta, Bluffdale, Cottonwood Heights, Draper, Herriman, Millcreek, Holladay, Midvale, Murray, Riverton and South Salt Lake, the townships of Kearns, Magna, Copperton, White City, Emigration, unincorporated Salt Lake County</w:t>
      </w:r>
    </w:p>
    <w:p>
      <w:pPr>
        <w:spacing w:beforeAutospacing="true" w:afterAutospacing="true"/>
        <w:rPr>
          <w:rFonts w:cs="Arial"/>
        </w:rPr>
      </w:pPr>
      <w:r>
        <w:rPr>
          <w:rFonts w:cs="Arial"/>
        </w:rPr>
        <w:t xml:space="preserve"> </w:t>
      </w:r>
    </w:p>
    <w:p>
      <w:pPr>
        <w:spacing w:beforeAutospacing="true" w:afterAutospacing="true"/>
        <w:rPr>
          <w:rFonts w:cs="Arial"/>
        </w:rPr>
      </w:pPr>
      <w:r>
        <w:rPr>
          <w:rFonts w:cs="Arial"/>
        </w:rPr>
        <w:t xml:space="preserve">SALT LAKE COUNTY CONSORTIUM</w:t>
      </w:r>
    </w:p>
    <w:p>
      <w:pPr>
        <w:spacing w:beforeAutospacing="true" w:afterAutospacing="true"/>
        <w:rPr>
          <w:rFonts w:cs="Arial"/>
        </w:rPr>
      </w:pPr>
      <w:r>
        <w:rPr>
          <w:rFonts w:cs="Arial"/>
        </w:rPr>
        <w:t xml:space="preserve">The Salt Lake County Consortium includes the Urban County and the cities of West Jordan, Sandy, South Jordan, Taylorsville and West Valley. </w:t>
      </w:r>
      <w:r>
        <w:rPr>
          <w:rFonts w:cs="Arial"/>
        </w:rPr>
        <w:t xml:space="preserve">Included as part of the Salt Lake County Consortium Consolidated Plan are the Action Plans of Salt Lake County, Sandy City, South Jordan City, City of Taylorsville, West Valley City and West Jordan City. </w:t>
      </w:r>
    </w:p>
    <w:p>
      <w:pPr>
        <w:spacing w:beforeAutospacing="true" w:afterAutospacing="true"/>
        <w:rPr>
          <w:rFonts w:cs="Arial"/>
        </w:rPr>
      </w:pPr>
      <w:r>
        <w:rPr>
          <w:rFonts w:cs="Arial"/>
        </w:rPr>
        <w:t xml:space="preserve"> </w:t>
      </w:r>
      <w:r>
        <w:rPr>
          <w:rFonts w:cs="Arial"/>
        </w:rPr>
        <w:t xml:space="preserve">ACTION PLAN</w:t>
      </w:r>
    </w:p>
    <w:p>
      <w:pPr>
        <w:spacing w:beforeAutospacing="true" w:afterAutospacing="true"/>
        <w:rPr>
          <w:rFonts w:cs="Arial"/>
        </w:rPr>
      </w:pPr>
      <w:r>
        <w:rPr>
          <w:rFonts w:cs="Arial"/>
        </w:rPr>
        <w:t xml:space="preserve">These action plans identify how approximately five million dollars of Community Development Block Grant (CDBG), HOME Investment Partnership Program and Emergency Solutions Grant (ESG) funds will be spent. Salt Lake County is the lead agency for the Urban County and the Consortium and will disperse the funds to Urban County cities and Consortium HOME program cities, respectively, as well as service providers for projects identified in the One-Year Action Plan.</w:t>
      </w:r>
    </w:p>
    <w:p>
      <w:pPr>
        <w:pStyle w:val="Heading1"/>
        <w:spacing w:beforeAutospacing="true" w:afterAutospacing="true"/>
        <w:rPr>
          <w:rFonts w:cs="Arial"/>
        </w:rPr>
      </w:pPr>
    </w:p>
    <w:p>
      <w:pPr>
        <w:rPr>
          <w:b/>
          <w:sz w:val="24"/>
          <w:szCs w:val="24"/>
        </w:rPr>
      </w:pPr>
      <w:r>
        <w:rPr>
          <w:b/>
          <w:sz w:val="24"/>
          <w:szCs w:val="24"/>
        </w:rPr>
        <w:t>2.</w:t>
        <w:tab/>
        <w:t>Summary of the objectives and outcomes identified in the Plan Needs Assessment Overview</w:t>
      </w:r>
    </w:p>
    <w:p>
      <w:pPr>
        <w:spacing w:beforeAutospacing="true" w:afterAutospacing="true"/>
        <w:rPr>
          <w:rFonts w:cs="Arial"/>
        </w:rPr>
      </w:pPr>
      <w:r>
        <w:rPr>
          <w:rFonts w:cs="Arial"/>
        </w:rPr>
        <w:t xml:space="preserve">The objective of the Salt Lake County Consortium Consolidated Plan is to identify the greatest needs in Salt Lake County through a public process and public input, and input received from a variety of agencies and organizations.  Through the review and the analysis of the needs the priorities for the next five years were establiashed (See Strategic Section) and goals were developed. The strategic needs and goals were used to help to decide on how CDBG, HOME and ESG funds will be allocated to mitigate some of those needs from July 1, 2020 to June 30, 2021.</w:t>
      </w:r>
    </w:p>
    <w:p>
      <w:pPr>
        <w:spacing w:beforeAutospacing="true" w:afterAutospacing="true"/>
        <w:rPr>
          <w:rFonts w:cs="Arial"/>
        </w:rPr>
      </w:pPr>
      <w:r>
        <w:rPr>
          <w:rFonts w:cs="Arial"/>
        </w:rPr>
        <w:t xml:space="preserve"> </w:t>
      </w:r>
    </w:p>
    <w:p>
      <w:pPr>
        <w:spacing w:beforeAutospacing="true" w:afterAutospacing="true"/>
        <w:rPr>
          <w:rFonts w:cs="Arial"/>
        </w:rPr>
      </w:pPr>
      <w:r>
        <w:rPr>
          <w:rFonts w:cs="Arial"/>
        </w:rPr>
        <w:t xml:space="preserve">The impact of the coronavirus has dramatically changed the economic health of Salt Lake County. In March to May 2020, the number of unemployed in Salt Lake County increased by over 50,000. Many of the un- employed are low-to moderate income. Many of these households could lose their housing. In the future Salt Lake County will utilize additional stimulus funding and work with agencies to assist those with the greatest needs caused by the impact of COVID 19.</w:t>
      </w:r>
    </w:p>
    <w:p>
      <w:pPr>
        <w:spacing w:beforeAutospacing="true" w:afterAutospacing="true"/>
        <w:rPr>
          <w:rFonts w:cs="Arial"/>
        </w:rPr>
      </w:pPr>
      <w:r>
        <w:rPr>
          <w:rFonts w:cs="Arial"/>
        </w:rPr>
        <w:t xml:space="preserve"> </w:t>
      </w:r>
    </w:p>
    <w:p>
      <w:pPr>
        <w:numPr>
          <w:ilvl w:val="0"/>
          <w:numId w:val="3"/>
        </w:numPr>
        <w:spacing w:beforeAutospacing="true" w:afterAutospacing="true"/>
        <w:rPr>
          <w:rFonts w:cs="Arial"/>
        </w:rPr>
      </w:pPr>
      <w:r>
        <w:rPr>
          <w:rFonts w:cs="Arial"/>
          <w:b/>
        </w:rPr>
        <w:t xml:space="preserve">Decent Housing Affordability</w:t>
      </w:r>
      <w:r>
        <w:rPr>
          <w:rFonts w:cs="Arial"/>
        </w:rPr>
        <w:t xml:space="preserve">: Home Improvement Program: 1,250 households over five years or 300 households annually will receive some form of emergency repair, minor home repair, or a home improvement loan/energy efficiency retrofit.                                                    </w:t>
      </w:r>
    </w:p>
    <w:p>
      <w:pPr>
        <w:numPr>
          <w:ilvl w:val="0"/>
          <w:numId w:val="3"/>
        </w:numPr>
        <w:spacing w:beforeAutospacing="true" w:afterAutospacing="true"/>
        <w:rPr>
          <w:rFonts w:cs="Arial"/>
        </w:rPr>
      </w:pPr>
      <w:r>
        <w:rPr>
          <w:rFonts w:cs="Arial"/>
        </w:rPr>
        <w:t xml:space="preserve">Rental Housing: HCD anticipates helping ginance the development and conststruction building of 600 Affordable Rental Housing Units over five years or 120 units annually.  In addition to these objectives, HCD has estimated that 300 rental housing units will be built over five years or 60 units annually for the chronically homeless, seniors and those with special needs, providing new rental housing as well as preserving existing units for Homeless and those with Special Needs.</w:t>
      </w:r>
    </w:p>
    <w:p>
      <w:pPr>
        <w:numPr>
          <w:ilvl w:val="0"/>
          <w:numId w:val="3"/>
        </w:numPr>
        <w:spacing w:beforeAutospacing="true" w:afterAutospacing="true"/>
        <w:rPr>
          <w:rFonts w:cs="Arial"/>
        </w:rPr>
      </w:pPr>
      <w:r>
        <w:rPr>
          <w:rFonts w:cs="Arial"/>
        </w:rPr>
        <w:t xml:space="preserve">Tenant Based Rental Assistance: It is estimated that over the next five year, 1,000 homeless households or households at risk of becoming homeless, or 200 households annually will receive short term rental assistance. As additional resources become available more funding will be provided to increase the amount of rental assistance for the prevention of homelessness.</w:t>
      </w:r>
    </w:p>
    <w:p>
      <w:pPr>
        <w:spacing w:beforeAutospacing="true" w:afterAutospacing="true"/>
        <w:rPr>
          <w:rFonts w:cs="Arial"/>
        </w:rPr>
      </w:pPr>
      <w:r>
        <w:rPr>
          <w:rFonts w:cs="Arial"/>
        </w:rPr>
        <w:t xml:space="preserve"> </w:t>
      </w:r>
      <w:r>
        <w:rPr>
          <w:rFonts w:cs="Arial"/>
          <w:b/>
        </w:rPr>
        <w:t xml:space="preserve">Suitable Living Environment; Availability and Accessibility; </w:t>
      </w:r>
      <w:r>
        <w:rPr>
          <w:rFonts w:cs="Arial"/>
        </w:rPr>
        <w:t xml:space="preserve">Capacity of Nonprofit Organizations: 25 nonprofit organizations over five years, or 5 annually will receive funding for operations and/or building improvements.                                          Infrastructure, Neighborhood and Park Improvements: 20 projects over five years or 4 annually will be funded and completed.</w:t>
      </w:r>
    </w:p>
    <w:p>
      <w:pPr>
        <w:numPr>
          <w:ilvl w:val="0"/>
          <w:numId w:val="3"/>
        </w:numPr>
        <w:spacing w:beforeAutospacing="true" w:afterAutospacing="true"/>
        <w:rPr>
          <w:rFonts w:cs="Arial"/>
        </w:rPr>
      </w:pPr>
      <w:r>
        <w:rPr>
          <w:rFonts w:cs="Arial"/>
          <w:b/>
        </w:rPr>
        <w:t xml:space="preserve">Creating Economic Opportunity and Sustainability </w:t>
      </w:r>
      <w:r>
        <w:rPr>
          <w:rFonts w:cs="Arial"/>
        </w:rPr>
        <w:t xml:space="preserve">Economic Development: 10 businesses over five years or 2 annually will receive some form of assistance.</w:t>
      </w:r>
    </w:p>
    <w:p>
      <w:pPr>
        <w:spacing w:beforeAutospacing="true" w:afterAutospacing="true"/>
        <w:rPr>
          <w:rFonts w:cs="Arial"/>
        </w:rPr>
      </w:pPr>
    </w:p>
    <w:p>
      <w:pPr>
        <w:rPr>
          <w:rFonts w:cs="Arial"/>
        </w:rPr>
      </w:pPr>
      <w:r>
        <w:rPr>
          <w:rFonts w:cs="Arial"/>
          <w:b/>
        </w:rPr>
        <w:drawing>
          <wp:inline distT="0" distB="0" distL="0" distR="0">
            <wp:extent cx="5943600" cy="9266699"/>
            <wp:effectExtent l="0" t="0" r="0" b="0"/>
            <wp:docPr id="0" name="" descr=""/>
            <wp:cNvGraphicFramePr>
              <a:graphicFrameLocks noChangeAspect="true"/>
            </wp:cNvGraphicFramePr>
            <a:graphic>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43600" cy="9266699"/>
                    </a:xfrm>
                    <a:prstGeom prst="rect">
                      <a:avLst/>
                    </a:prstGeom>
                  </pic:spPr>
                </pic:pic>
              </a:graphicData>
            </a:graphic>
          </wp:inline>
        </w:drawing>
        <w:br/>
        <w:t>Salt Lake County Low Mod Areas</w:t>
      </w:r>
    </w:p>
    <w:p>
      <w:pPr>
        <w:rPr>
          <w:b/>
          <w:sz w:val="24"/>
          <w:szCs w:val="24"/>
        </w:rPr>
      </w:pPr>
      <w:r>
        <w:rPr>
          <w:b/>
          <w:sz w:val="24"/>
          <w:szCs w:val="24"/>
        </w:rPr>
        <w:t>3.</w:t>
        <w:tab/>
        <w:t>Evaluation of past performance</w:t>
      </w:r>
    </w:p>
    <w:p>
      <w:pPr>
        <w:spacing w:beforeAutospacing="true" w:afterAutospacing="true"/>
        <w:rPr>
          <w:rFonts w:cs="Arial"/>
        </w:rPr>
      </w:pPr>
      <w:r>
        <w:rPr>
          <w:rFonts w:cs="Arial"/>
          <w:u w:val="single"/>
        </w:rPr>
        <w:t xml:space="preserve">Summary of activities for the last fiscal year</w:t>
      </w:r>
    </w:p>
    <w:p>
      <w:pPr>
        <w:spacing w:beforeAutospacing="true" w:afterAutospacing="true"/>
        <w:rPr>
          <w:rFonts w:cs="Arial"/>
        </w:rPr>
      </w:pPr>
      <w:r>
        <w:rPr>
          <w:rFonts w:cs="Arial"/>
        </w:rPr>
        <w:t xml:space="preserve">CDBG, HOME and ESG funds were committed to a broad range of programs and projects benefiting low to moderate-income households.</w:t>
      </w:r>
    </w:p>
    <w:p>
      <w:pPr>
        <w:spacing w:beforeAutospacing="true" w:afterAutospacing="true"/>
        <w:rPr>
          <w:rFonts w:cs="Arial"/>
        </w:rPr>
      </w:pPr>
      <w:r>
        <w:rPr>
          <w:rFonts w:cs="Arial"/>
          <w:b/>
        </w:rPr>
        <w:t xml:space="preserve">HOME Investment Partnership Program</w:t>
      </w:r>
    </w:p>
    <w:p>
      <w:pPr>
        <w:numPr>
          <w:ilvl w:val="0"/>
          <w:numId w:val="3"/>
        </w:numPr>
        <w:spacing w:beforeAutospacing="true" w:afterAutospacing="true"/>
        <w:rPr>
          <w:rFonts w:cs="Arial"/>
        </w:rPr>
      </w:pPr>
      <w:r>
        <w:rPr>
          <w:rFonts w:cs="Arial"/>
        </w:rPr>
        <w:t xml:space="preserve">Four affordable rental housing projects were completed, HiGrade (100 units), MODA Meadowbrook (145 units, Cornell (142 units), Opportunity HUB (89 units)</w:t>
      </w:r>
    </w:p>
    <w:p>
      <w:pPr>
        <w:spacing w:beforeAutospacing="true" w:afterAutospacing="true"/>
        <w:rPr>
          <w:rFonts w:cs="Arial"/>
        </w:rPr>
      </w:pPr>
      <w:r>
        <w:rPr>
          <w:rFonts w:cs="Arial"/>
        </w:rPr>
        <w:t xml:space="preserve"> </w:t>
      </w:r>
    </w:p>
    <w:p>
      <w:pPr>
        <w:numPr>
          <w:ilvl w:val="0"/>
          <w:numId w:val="3"/>
        </w:numPr>
        <w:spacing w:beforeAutospacing="true" w:afterAutospacing="true"/>
        <w:rPr>
          <w:rFonts w:cs="Arial"/>
        </w:rPr>
      </w:pPr>
      <w:r>
        <w:rPr>
          <w:rFonts w:cs="Arial"/>
        </w:rPr>
        <w:t xml:space="preserve">35 Aging in Place Salt Lake projects were completed, $750,000 of Federal Home Loan Bank Funds were combined with $250,000 of HOME funds to fully fund the substantial retrofit of 35 homes to make them fully accessible, safe and healthy.</w:t>
      </w:r>
    </w:p>
    <w:p>
      <w:pPr>
        <w:spacing w:beforeAutospacing="true" w:afterAutospacing="true"/>
        <w:rPr>
          <w:rFonts w:cs="Arial"/>
        </w:rPr>
      </w:pPr>
      <w:r>
        <w:rPr>
          <w:rFonts w:cs="Arial"/>
          <w:b/>
        </w:rPr>
        <w:t xml:space="preserve">Community Development Block Grant Program: </w:t>
      </w:r>
    </w:p>
    <w:p>
      <w:pPr>
        <w:numPr>
          <w:ilvl w:val="0"/>
          <w:numId w:val="3"/>
        </w:numPr>
        <w:spacing w:beforeAutospacing="true" w:afterAutospacing="true"/>
        <w:rPr>
          <w:rFonts w:cs="Arial"/>
        </w:rPr>
      </w:pPr>
      <w:r>
        <w:rPr>
          <w:rFonts w:cs="Arial"/>
        </w:rPr>
        <w:t xml:space="preserve">Home Improvement/Emergency Home Repairs were completed on 156 homes.</w:t>
      </w:r>
    </w:p>
    <w:p>
      <w:pPr>
        <w:numPr>
          <w:ilvl w:val="0"/>
          <w:numId w:val="3"/>
        </w:numPr>
        <w:spacing w:beforeAutospacing="true" w:afterAutospacing="true"/>
        <w:rPr>
          <w:rFonts w:cs="Arial"/>
        </w:rPr>
      </w:pPr>
      <w:r>
        <w:rPr>
          <w:rFonts w:cs="Arial"/>
        </w:rPr>
        <w:t xml:space="preserve">Down Payment assistance was provided with CDBG funds to 47 low-income homebuyers during the year.</w:t>
      </w:r>
    </w:p>
    <w:p>
      <w:pPr>
        <w:numPr>
          <w:ilvl w:val="0"/>
          <w:numId w:val="3"/>
        </w:numPr>
        <w:spacing w:beforeAutospacing="true" w:afterAutospacing="true"/>
        <w:rPr>
          <w:rFonts w:cs="Arial"/>
        </w:rPr>
      </w:pPr>
      <w:r>
        <w:rPr>
          <w:rFonts w:cs="Arial"/>
        </w:rPr>
        <w:t xml:space="preserve">Two infrastructure improvement projects were completed</w:t>
      </w:r>
    </w:p>
    <w:p>
      <w:pPr>
        <w:numPr>
          <w:ilvl w:val="0"/>
          <w:numId w:val="3"/>
        </w:numPr>
        <w:spacing w:beforeAutospacing="true" w:afterAutospacing="true"/>
        <w:rPr>
          <w:rFonts w:cs="Arial"/>
        </w:rPr>
      </w:pPr>
      <w:r>
        <w:rPr>
          <w:rFonts w:cs="Arial"/>
        </w:rPr>
        <w:t xml:space="preserve">Seven non-profit agencies completed facility improvements to serve homeless and low-moderate income people.</w:t>
      </w:r>
    </w:p>
    <w:p>
      <w:pPr>
        <w:numPr>
          <w:ilvl w:val="0"/>
          <w:numId w:val="3"/>
        </w:numPr>
        <w:spacing w:beforeAutospacing="true" w:afterAutospacing="true"/>
        <w:rPr>
          <w:rFonts w:cs="Arial"/>
        </w:rPr>
      </w:pPr>
      <w:r>
        <w:rPr>
          <w:rFonts w:cs="Arial"/>
        </w:rPr>
        <w:t xml:space="preserve">Six agencies provided public services which addressed crisis needs, stabilization, and economic mobility for low-and-moderate income people.  </w:t>
      </w:r>
    </w:p>
    <w:p>
      <w:pPr>
        <w:spacing w:beforeAutospacing="true" w:afterAutospacing="true"/>
        <w:rPr>
          <w:rFonts w:cs="Arial"/>
        </w:rPr>
      </w:pPr>
      <w:r>
        <w:rPr>
          <w:rFonts w:cs="Arial"/>
          <w:b/>
        </w:rPr>
        <w:t xml:space="preserve">Emergency Solutions Grant Program:</w:t>
      </w:r>
      <w:r>
        <w:rPr>
          <w:rFonts w:cs="Arial"/>
        </w:rPr>
        <w:t xml:space="preserve">  Two agencies were provided funding through the ESG program, which facilitated three programs.  Both Agencies matched these funds at 100% and the accomplishments include:</w:t>
      </w:r>
    </w:p>
    <w:p>
      <w:pPr>
        <w:numPr>
          <w:ilvl w:val="0"/>
          <w:numId w:val="3"/>
        </w:numPr>
        <w:spacing w:beforeAutospacing="true" w:afterAutospacing="true"/>
        <w:rPr>
          <w:rFonts w:cs="Arial"/>
        </w:rPr>
      </w:pPr>
      <w:r>
        <w:rPr>
          <w:rFonts w:cs="Arial"/>
        </w:rPr>
        <w:t xml:space="preserve">Two agencies received funding for emergency shelter services covering the costs of operations, counseling and supportive services for clients. These agencies provided services to more than 6,590 homeless persons.</w:t>
      </w:r>
    </w:p>
    <w:p>
      <w:pPr>
        <w:numPr>
          <w:ilvl w:val="0"/>
          <w:numId w:val="3"/>
        </w:numPr>
        <w:spacing w:beforeAutospacing="true" w:afterAutospacing="true"/>
        <w:rPr>
          <w:rFonts w:cs="Arial"/>
        </w:rPr>
      </w:pPr>
      <w:r>
        <w:rPr>
          <w:rFonts w:cs="Arial"/>
        </w:rPr>
        <w:t xml:space="preserve">One agency was provided funding for Rapid Re-housing to provide financial assistance and stabilization and relocation services for homeless clients.  Salt Lake County ESG funds supported 10 households comprised of 41 individuals out of the Road Home’s overall Rapid Re-Housing program.</w:t>
      </w:r>
    </w:p>
    <w:p>
      <w:pPr>
        <w:spacing w:beforeAutospacing="true" w:afterAutospacing="true"/>
        <w:rPr>
          <w:rFonts w:cs="Arial"/>
        </w:rPr>
      </w:pPr>
      <w:r>
        <w:rPr>
          <w:rFonts w:cs="Arial"/>
          <w:b/>
        </w:rPr>
        <w:t xml:space="preserve"> </w:t>
      </w:r>
    </w:p>
    <w:p>
      <w:pPr>
        <w:rPr>
          <w:b/>
          <w:sz w:val="24"/>
          <w:szCs w:val="24"/>
        </w:rPr>
      </w:pPr>
      <w:r>
        <w:rPr>
          <w:b/>
          <w:sz w:val="24"/>
          <w:szCs w:val="24"/>
        </w:rPr>
        <w:t>4.</w:t>
        <w:tab/>
        <w:t>Summary of citizen participation process and consultation process</w:t>
      </w:r>
    </w:p>
    <w:p>
      <w:pPr>
        <w:numPr>
          <w:ilvl w:val="0"/>
          <w:numId w:val="3"/>
        </w:numPr>
        <w:spacing w:beforeAutospacing="true" w:afterAutospacing="true"/>
        <w:rPr>
          <w:rFonts w:cs="Arial"/>
        </w:rPr>
      </w:pPr>
      <w:r>
        <w:rPr>
          <w:rFonts w:cs="Arial"/>
        </w:rPr>
        <w:t xml:space="preserve">Starting in the latter part of 2019, Salt Lake County Housing and Community Development completed a community needs assessment to gain a better understanding of the community needs of low-to moderate-income households in Salt Lake County, Utah. The purpose was to help use Community Development Block Grant (CDBG), Emergency Solutions Grant (ESG), and Home Investment Partnership Program (HOME) grant funding for organizations whose programs can best address the needs of low-to moderate-income households in Salt Lake County, Utah.</w:t>
      </w:r>
      <w:r>
        <w:rPr>
          <w:rFonts w:cs="Arial"/>
        </w:rPr>
        <w:t xml:space="preserve"> </w:t>
      </w:r>
      <w:r>
        <w:rPr>
          <w:rFonts w:cs="Arial"/>
        </w:rPr>
        <w:t xml:space="preserve">The needs assessment was completed in a multi-step process which included:</w:t>
      </w:r>
      <w:r>
        <w:rPr>
          <w:rFonts w:cs="Arial"/>
        </w:rPr>
        <w:t xml:space="preserve">1. Literature review of prior needs assessments</w:t>
      </w:r>
      <w:r>
        <w:rPr>
          <w:rFonts w:cs="Arial"/>
        </w:rPr>
        <w:t xml:space="preserve"> </w:t>
      </w:r>
      <w:r>
        <w:rPr>
          <w:rFonts w:cs="Arial"/>
        </w:rPr>
        <w:t xml:space="preserve">2. Coordination and guidance from the Housing and Community Development (HCD) Director and Program Managers</w:t>
      </w:r>
      <w:r>
        <w:rPr>
          <w:rFonts w:cs="Arial"/>
        </w:rPr>
        <w:t xml:space="preserve"> </w:t>
      </w:r>
      <w:r>
        <w:rPr>
          <w:rFonts w:cs="Arial"/>
        </w:rPr>
        <w:t xml:space="preserve">1. Public Comment Process</w:t>
      </w:r>
      <w:r>
        <w:rPr>
          <w:rFonts w:cs="Arial"/>
        </w:rPr>
        <w:t xml:space="preserve"> </w:t>
      </w:r>
      <w:r>
        <w:rPr>
          <w:rFonts w:cs="Arial"/>
        </w:rPr>
        <w:t xml:space="preserve">1. Internal stakeholder meeting with Salt Lake County</w:t>
      </w:r>
      <w:r>
        <w:rPr>
          <w:rFonts w:cs="Arial"/>
        </w:rPr>
        <w:t xml:space="preserve"> </w:t>
      </w:r>
      <w:r>
        <w:rPr>
          <w:rFonts w:cs="Arial"/>
        </w:rPr>
        <w:t xml:space="preserve">1. Follow up by Housing and Community Development to the internal stakeholder meeting</w:t>
      </w:r>
      <w:r>
        <w:rPr>
          <w:rFonts w:cs="Arial"/>
        </w:rPr>
        <w:t xml:space="preserve"> </w:t>
      </w:r>
      <w:r>
        <w:rPr>
          <w:rFonts w:cs="Arial"/>
        </w:rPr>
        <w:t xml:space="preserve">In particular, the Public Comment Process on the above list greatly informed the finalized identification of needs. The Public Comment period was administered through two in-person meetings held on December 12, 2019, as well as an option to submit written comments through January 2020. Prior to the public comment period a draft copy of the Needs Assessment was posted on the Housing and Community Development web site, a legal notice was run in the Salt Lake Tribune and Deseret News on September 8, 2019, and email reminders were sent to community organizations. Public response was representative of a range of community organizations and individuals. In total, 27 organizations and 2 private citizens engaged in the public comment process.</w:t>
      </w:r>
      <w:r>
        <w:rPr>
          <w:rFonts w:cs="Arial"/>
        </w:rPr>
        <w:t xml:space="preserve"> </w:t>
      </w:r>
      <w:r>
        <w:rPr>
          <w:rFonts w:cs="Arial"/>
        </w:rPr>
        <w:t xml:space="preserve">The identified highest needs of low-to-moderate income households in Salt Lake County, Utah, are provided below. These needs were incorporated into the Request for Proposals (RFP) processes for Salt Lake County for the Community Development Block Grant (CDBG), the Emergency Solutions Grant (ESG) and the Home Investment Partnership Program (HOME) grant funding.</w:t>
      </w:r>
      <w:r>
        <w:rPr>
          <w:rFonts w:cs="Arial"/>
        </w:rPr>
        <w:t xml:space="preserve"> </w:t>
      </w:r>
      <w:r>
        <w:rPr>
          <w:rFonts w:cs="Arial"/>
        </w:rPr>
        <w:t xml:space="preserve">Safe, affordable and accessible homeownership and rental opportunities</w:t>
      </w:r>
      <w:r>
        <w:rPr>
          <w:rFonts w:cs="Arial"/>
        </w:rPr>
        <w:t xml:space="preserve">Crisis shelters and housing for special needs populations</w:t>
      </w:r>
      <w:r>
        <w:rPr>
          <w:rFonts w:cs="Arial"/>
        </w:rPr>
        <w:t xml:space="preserve">Supportive services to assist with housing stability and housing access</w:t>
      </w:r>
      <w:r>
        <w:rPr>
          <w:rFonts w:cs="Arial"/>
        </w:rPr>
        <w:t xml:space="preserve">Job readiness/knowledge of work supports</w:t>
      </w:r>
      <w:r>
        <w:rPr>
          <w:rFonts w:cs="Arial"/>
        </w:rPr>
        <w:t xml:space="preserve">Post –secondary and adult learning opportunities</w:t>
      </w:r>
      <w:r>
        <w:rPr>
          <w:rFonts w:cs="Arial"/>
        </w:rPr>
        <w:t xml:space="preserve">Financial education and legal resources to increase income</w:t>
      </w:r>
      <w:r>
        <w:rPr>
          <w:rFonts w:cs="Arial"/>
        </w:rPr>
        <w:t xml:space="preserve">Access to emergency food resources</w:t>
      </w:r>
      <w:r>
        <w:rPr>
          <w:rFonts w:cs="Arial"/>
        </w:rPr>
        <w:t xml:space="preserve">Safe and healthy families and communities; services to prevent and address substance abuse, child and elder abuse, domestic violence and criminal behavior</w:t>
      </w:r>
      <w:r>
        <w:rPr>
          <w:rFonts w:cs="Arial"/>
        </w:rPr>
        <w:t xml:space="preserve">Access to legal services and information resources</w:t>
      </w:r>
      <w:r>
        <w:rPr>
          <w:rFonts w:cs="Arial"/>
        </w:rPr>
        <w:br/>
        <w:t xml:space="preserve"/>
      </w:r>
      <w:r>
        <w:rPr>
          <w:rFonts w:cs="Arial"/>
        </w:rPr>
        <w:t xml:space="preserve"> </w:t>
      </w:r>
      <w:r>
        <w:rPr>
          <w:rFonts w:cs="Arial"/>
        </w:rPr>
        <w:t xml:space="preserve">Low-opportunity areas are places that lack access to quality jobs and education, and have higher rates of poverty, housing instability and labor market engagement. Low-opportunity areas in Salt Lake County include Kearns, Magna, Midvale, Murray and South Salt Lake City. Combined, 231 individuals from these areas took the public survey, with participants from Kearns making up 45% of total responders.</w:t>
      </w:r>
      <w:r>
        <w:rPr>
          <w:rFonts w:cs="Arial"/>
        </w:rPr>
        <w:t xml:space="preserve"> </w:t>
      </w:r>
    </w:p>
    <w:p>
      <w:pPr>
        <w:rPr>
          <w:b/>
          <w:sz w:val="24"/>
          <w:szCs w:val="24"/>
        </w:rPr>
      </w:pPr>
      <w:r>
        <w:rPr>
          <w:b/>
          <w:sz w:val="24"/>
          <w:szCs w:val="24"/>
        </w:rPr>
        <w:t>5.</w:t>
        <w:tab/>
        <w:t>Summary of public comments</w:t>
      </w:r>
    </w:p>
    <w:p>
      <w:pPr>
        <w:spacing w:beforeAutospacing="true" w:afterAutospacing="true"/>
        <w:rPr>
          <w:rFonts w:cs="Arial"/>
        </w:rPr>
      </w:pPr>
      <w:r>
        <w:rPr>
          <w:rFonts w:cs="Arial"/>
        </w:rPr>
        <w:t xml:space="preserve">See Attachment 1 for comments received</w:t>
      </w:r>
    </w:p>
    <w:p>
      <w:pPr>
        <w:rPr>
          <w:b/>
          <w:sz w:val="24"/>
          <w:szCs w:val="24"/>
        </w:rPr>
      </w:pPr>
      <w:r>
        <w:rPr>
          <w:b/>
          <w:sz w:val="24"/>
          <w:szCs w:val="24"/>
        </w:rPr>
        <w:t>6.</w:t>
        <w:tab/>
        <w:t>Summary of comments or views not accepted and the reasons for not accepting them</w:t>
      </w:r>
    </w:p>
    <w:p>
      <w:pPr>
        <w:spacing w:beforeAutospacing="true" w:afterAutospacing="true"/>
        <w:rPr>
          <w:rFonts w:cs="Arial"/>
        </w:rPr>
      </w:pPr>
      <w:r>
        <w:rPr>
          <w:rFonts w:cs="Arial"/>
        </w:rPr>
        <w:t xml:space="preserve">The comments were considered</w:t>
      </w:r>
    </w:p>
    <w:p>
      <w:pPr>
        <w:rPr>
          <w:b/>
          <w:sz w:val="24"/>
          <w:szCs w:val="24"/>
        </w:rPr>
      </w:pPr>
      <w:r>
        <w:rPr>
          <w:b/>
          <w:sz w:val="24"/>
          <w:szCs w:val="24"/>
        </w:rPr>
        <w:t>7.</w:t>
        <w:tab/>
        <w:t>Summary</w:t>
      </w:r>
    </w:p>
    <w:p>
      <w:pPr>
        <w:spacing w:beforeAutospacing="true" w:afterAutospacing="true"/>
        <w:rPr>
          <w:rFonts w:cs="Arial"/>
        </w:rPr>
      </w:pPr>
      <w:r>
        <w:rPr>
          <w:rFonts w:cs="Arial"/>
        </w:rPr>
        <w:t xml:space="preserve">The onset of the Coronavirus (COVID-19) required a reset of the needs, priorities and goals for the five-year plan and more focus on the most critical needs to be mitigated by the 2020 Action Plan. The challenges and needs appear overwhelming; however, Salt Lake County will continue to assess the evolving priorities and integrate responsive goals into the strategy for the deployment of federal resources in 2020-2024.</w:t>
      </w:r>
    </w:p>
    <w:p>
      <w:pPr>
        <w:rPr>
          <w:rFonts w:cs="Arial"/>
        </w:rPr>
      </w:pPr>
    </w:p>
    <w:p>
      <w:pPr>
        <w:pStyle w:val="Heading1"/>
        <w:pageBreakBefore/>
        <w:jc w:val="center"/>
        <w:rPr>
          <w:rFonts w:ascii="Calibri" w:hAnsi="Calibri"/>
          <w:color w:val="auto"/>
          <w:sz w:val="32"/>
          <w:szCs w:val="32"/>
        </w:rPr>
      </w:pPr>
      <w:r>
        <w:rPr>
          <w:rFonts w:ascii="Calibri" w:hAnsi="Calibri"/>
          <w:color w:val="auto"/>
          <w:sz w:val="32"/>
          <w:szCs w:val="32"/>
        </w:rPr>
        <w:t>The Process</w:t>
      </w:r>
    </w:p>
    <w:p>
      <w:pPr>
        <w:pStyle w:val="Heading2"/>
        <w:rPr>
          <w:rFonts w:ascii="Calibri" w:hAnsi="Calibri"/>
          <w:i w:val="false"/>
        </w:rPr>
      </w:pPr>
      <w:r>
        <w:rPr>
          <w:rFonts w:ascii="Calibri" w:hAnsi="Calibri"/>
          <w:i w:val="false"/>
        </w:rPr>
        <w:t>PR-05 Lead &amp; Responsible Agencies - 91.200(b)</w:t>
      </w:r>
    </w:p>
    <w:p>
      <w:pPr>
        <w:keepNext/>
        <w:rPr>
          <w:b/>
          <w:sz w:val="24"/>
          <w:szCs w:val="24"/>
        </w:rPr>
      </w:pPr>
      <w:r>
        <w:rPr>
          <w:b/>
          <w:sz w:val="24"/>
          <w:szCs w:val="24"/>
        </w:rPr>
        <w:t>1.</w:t>
        <w:tab/>
        <w:t>Describe agency/entity responsible for preparing the Consolidated Plan and those responsible for administration of each grant program and funding source</w:t>
      </w:r>
    </w:p>
    <w:p>
      <w:pPr>
        <w:keepNext/>
        <w:rPr>
          <w:sz w:val="24"/>
          <w:szCs w:val="24"/>
        </w:rPr>
      </w:pPr>
      <w:r>
        <w:rPr>
          <w:sz w:val="24"/>
          <w:szCs w:val="24"/>
        </w:rPr>
        <w:t>The following are the agencies/entities responsible for preparing the Consolidated Plan and those responsible for administration of each grant program and funding source.</w:t>
      </w:r>
    </w:p>
    <w:tbl>
      <w:tblPr>
        <w:tblW w:w="5000" w:type="pct"/>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firstRow="1" w:lastRow="1" w:firstColumn="1" w:lastColumn="1" w:noHBand="0" w:noVBand="0" w:val="01E0"/>
      </w:tblPr>
      <w:tblGrid>
        <w:gridCol w:w="3192"/>
        <w:gridCol w:w="3192"/>
        <w:gridCol w:w="3192"/>
      </w:tblGrid>
      <w:tr>
        <w:trPr>
          <w:cantSplit/>
          <w:tblHeader/>
        </w:trPr>
        <w:tc>
          <w:tcPr>
            <w:tcW w:w="3192" w:type="dxa"/>
          </w:tcPr>
          <w:p>
            <w:pPr>
              <w:keepNext/>
              <w:widowControl w:val="false"/>
              <w:spacing w:after="0" w:line="240" w:lineRule="auto"/>
              <w:jc w:val="center"/>
              <w:rPr>
                <w:b/>
                <w:bCs/>
              </w:rPr>
            </w:pPr>
            <w:r>
              <w:rPr>
                <w:b/>
                <w:bCs/>
              </w:rPr>
              <w:t>Agency Role</w:t>
            </w:r>
          </w:p>
        </w:tc>
        <w:tc>
          <w:tcPr>
            <w:tcW w:w="3192" w:type="dxa"/>
          </w:tcPr>
          <w:p>
            <w:pPr>
              <w:keepNext/>
              <w:widowControl w:val="false"/>
              <w:spacing w:after="0" w:line="240" w:lineRule="auto"/>
              <w:jc w:val="center"/>
              <w:rPr>
                <w:b/>
                <w:bCs/>
              </w:rPr>
            </w:pPr>
            <w:r>
              <w:rPr>
                <w:b/>
                <w:bCs/>
              </w:rPr>
              <w:t>Name</w:t>
            </w:r>
          </w:p>
        </w:tc>
        <w:tc>
          <w:tcPr>
            <w:tcW w:w="3192" w:type="dxa"/>
          </w:tcPr>
          <w:p>
            <w:pPr>
              <w:keepNext/>
              <w:widowControl w:val="false"/>
              <w:spacing w:after="0" w:line="240" w:lineRule="auto"/>
              <w:jc w:val="center"/>
              <w:rPr>
                <w:b/>
                <w:bCs/>
              </w:rPr>
            </w:pPr>
            <w:r>
              <w:rPr>
                <w:b/>
                <w:bCs/>
              </w:rPr>
              <w:t>Department/Agency</w:t>
            </w:r>
          </w:p>
        </w:tc>
      </w:tr>
      <w:tr>
        <w:trPr>
          <w:cantSplit w:val="true"/>
        </w:trPr>
        <w:tc>
          <w:tcPr>
            <w:vAlign w:val="top"/>
          </w:tcPr>
          <w:p>
            <w:pPr>
              <w:spacing w:beforeAutospacing="true" w:afterAutospacing="true"/>
              <w:jc w:val="left"/>
            </w:pPr>
            <w:r>
              <w:rPr>
                <w:rFonts w:ascii="Calibri" w:hAnsi="Calibri"/>
                <w:color w:val="000000"/>
                <w:sz w:val="22"/>
              </w:rPr>
              <w:t xml:space="preserve">Lead  Agency</w:t>
            </w:r>
          </w:p>
        </w:tc>
        <w:tc>
          <w:tcPr>
            <w:vAlign w:val="top"/>
          </w:tcPr>
          <w:p>
            <w:pPr>
              <w:spacing w:beforeAutospacing="true" w:afterAutospacing="true"/>
              <w:jc w:val="left"/>
            </w:pPr>
            <w:r>
              <w:rPr>
                <w:rFonts w:ascii="Calibri" w:hAnsi="Calibri"/>
                <w:color w:val="000000"/>
                <w:sz w:val="22"/>
              </w:rPr>
              <w:t xml:space="preserve">SALT LAKE COUNTY</w:t>
            </w:r>
          </w:p>
        </w:tc>
        <w:tc>
          <w:tcPr>
            <w:vAlign w:val="top"/>
          </w:tcPr>
          <w:p>
            <w:pPr>
              <w:spacing w:beforeAutospacing="true" w:afterAutospacing="true"/>
              <w:jc w:val="left"/>
            </w:pPr>
            <w:r>
              <w:rPr>
                <w:rFonts w:ascii="Calibri" w:hAnsi="Calibri"/>
                <w:color w:val="000000"/>
                <w:sz w:val="22"/>
              </w:rPr>
              <w:t xml:space="preserve"> </w:t>
            </w:r>
          </w:p>
        </w:tc>
      </w:tr>
    </w:tbl>
    <w:p>
      <w:pPr>
        <w:spacing w:after="0" w:line="240" w:lineRule="auto"/>
        <w:rPr>
          <w:b/>
          <w:vanish/>
          <w:sz w:val="24"/>
          <w:szCs w:val="24"/>
        </w:rPr>
      </w:pPr>
    </w:p>
    <w:tbl>
      <w:tblPr>
        <w:tblW w:w="5000" w:type="pct"/>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firstRow="1" w:lastRow="1" w:firstColumn="1" w:lastColumn="1" w:noHBand="0" w:noVBand="0" w:val="01E0"/>
      </w:tblPr>
      <w:tblGrid>
        <w:gridCol w:w="3192"/>
        <w:gridCol w:w="3192"/>
        <w:gridCol w:w="3192"/>
      </w:tblGrid>
      <w:tr>
        <w:trPr>
          <w:cantSplit/>
          <w:tblHeader/>
          <w:hidden/>
        </w:trPr>
        <w:tc>
          <w:tcPr>
            <w:tcW w:w="3192" w:type="dxa"/>
          </w:tcPr>
          <w:p>
            <w:pPr>
              <w:keepNext/>
              <w:widowControl w:val="false"/>
              <w:spacing w:after="0" w:line="240" w:lineRule="auto"/>
              <w:jc w:val="center"/>
              <w:rPr>
                <w:b/>
                <w:bCs/>
                <w:vanish/>
              </w:rPr>
            </w:pPr>
          </w:p>
        </w:tc>
        <w:tc>
          <w:tcPr>
            <w:tcW w:w="3192" w:type="dxa"/>
          </w:tcPr>
          <w:p>
            <w:pPr>
              <w:keepNext/>
              <w:widowControl w:val="false"/>
              <w:spacing w:after="0" w:line="240" w:lineRule="auto"/>
              <w:jc w:val="center"/>
              <w:rPr>
                <w:b/>
                <w:bCs/>
                <w:vanish/>
              </w:rPr>
            </w:pPr>
          </w:p>
        </w:tc>
        <w:tc>
          <w:tcPr>
            <w:tcW w:w="3192" w:type="dxa"/>
          </w:tcPr>
          <w:p>
            <w:pPr>
              <w:keepNext/>
              <w:widowControl w:val="false"/>
              <w:spacing w:after="0" w:line="240" w:lineRule="auto"/>
              <w:jc w:val="center"/>
              <w:rPr>
                <w:b/>
                <w:bCs/>
                <w:vanish/>
              </w:rPr>
            </w:pPr>
          </w:p>
        </w:tc>
      </w:tr>
      <w:tr>
        <w:trPr>
          <w:cantSplit w:val="true"/>
        </w:trPr>
        <w:tc>
          <w:tcPr>
            <w:vAlign w:val="top"/>
          </w:tcPr>
          <w:p>
            <w:pPr>
              <w:spacing w:beforeAutospacing="true" w:afterAutospacing="true"/>
              <w:jc w:val="left"/>
            </w:pPr>
            <w:r>
              <w:rPr>
                <w:rFonts w:ascii="Calibri" w:hAnsi="Calibri"/>
                <w:color w:val="000000"/>
                <w:sz w:val="22"/>
              </w:rPr>
              <w:t xml:space="preserve">CDBG Administrator</w:t>
            </w:r>
          </w:p>
        </w:tc>
        <w:tc>
          <w:tcPr>
            <w:vAlign w:val="top"/>
          </w:tcPr>
          <w:p>
            <w:pPr>
              <w:spacing w:beforeAutospacing="true" w:afterAutospacing="true"/>
              <w:jc w:val="left"/>
            </w:pPr>
            <w:r>
              <w:rPr>
                <w:rFonts w:ascii="Calibri" w:hAnsi="Calibri"/>
                <w:color w:val="000000"/>
                <w:sz w:val="22"/>
              </w:rPr>
              <w:t xml:space="preserve">SALT LAKE COUNTY</w:t>
            </w:r>
          </w:p>
        </w:tc>
        <w:tc>
          <w:tcPr>
            <w:vAlign w:val="top"/>
          </w:tcPr>
          <w:p>
            <w:pPr>
              <w:spacing w:beforeAutospacing="true" w:afterAutospacing="true"/>
              <w:jc w:val="left"/>
            </w:pPr>
            <w:r>
              <w:rPr>
                <w:rFonts w:ascii="Calibri" w:hAnsi="Calibri"/>
                <w:color w:val="000000"/>
                <w:sz w:val="22"/>
              </w:rPr>
              <w:t xml:space="preserve">Salt Lake County Housing &amp; Community Development</w:t>
            </w:r>
          </w:p>
        </w:tc>
      </w:tr>
      <w:tr>
        <w:trPr>
          <w:cantSplit w:val="true"/>
        </w:trPr>
        <w:tc>
          <w:tcPr>
            <w:vAlign w:val="top"/>
          </w:tcPr>
          <w:p>
            <w:pPr>
              <w:spacing w:beforeAutospacing="true" w:afterAutospacing="true"/>
              <w:jc w:val="left"/>
            </w:pPr>
            <w:r>
              <w:rPr>
                <w:rFonts w:ascii="Calibri" w:hAnsi="Calibri"/>
                <w:color w:val="000000"/>
                <w:sz w:val="22"/>
              </w:rPr>
              <w:t xml:space="preserve">HOPWA Administrator</w:t>
            </w:r>
          </w:p>
        </w:tc>
        <w:tc>
          <w:tcPr>
            <w:vAlign w:val="top"/>
          </w:tcPr>
          <w:p>
            <w:pPr>
              <w:spacing w:beforeAutospacing="true" w:afterAutospacing="true"/>
              <w:jc w:val="left"/>
            </w:pPr>
            <w:r>
              <w:rPr>
                <w:rFonts w:ascii="Calibri" w:hAnsi="Calibri"/>
                <w:color w:val="000000"/>
                <w:sz w:val="22"/>
              </w:rPr>
              <w:t xml:space="preserve"> </w:t>
            </w:r>
          </w:p>
        </w:tc>
        <w:tc>
          <w:tcPr>
            <w:vAlign w:val="top"/>
          </w:tcPr>
          <w:p>
            <w:pPr>
              <w:spacing w:beforeAutospacing="true" w:afterAutospacing="true"/>
              <w:jc w:val="left"/>
            </w:pPr>
            <w:r>
              <w:rPr>
                <w:rFonts w:ascii="Calibri" w:hAnsi="Calibri"/>
                <w:color w:val="000000"/>
                <w:sz w:val="22"/>
              </w:rPr>
              <w:t xml:space="preserve"> </w:t>
            </w:r>
          </w:p>
        </w:tc>
      </w:tr>
      <w:tr>
        <w:trPr>
          <w:cantSplit w:val="true"/>
        </w:trPr>
        <w:tc>
          <w:tcPr>
            <w:vAlign w:val="top"/>
          </w:tcPr>
          <w:p>
            <w:pPr>
              <w:spacing w:beforeAutospacing="true" w:afterAutospacing="true"/>
              <w:jc w:val="left"/>
            </w:pPr>
            <w:r>
              <w:rPr>
                <w:rFonts w:ascii="Calibri" w:hAnsi="Calibri"/>
                <w:color w:val="000000"/>
                <w:sz w:val="22"/>
              </w:rPr>
              <w:t xml:space="preserve">HOME Administrator</w:t>
            </w:r>
          </w:p>
        </w:tc>
        <w:tc>
          <w:tcPr>
            <w:vAlign w:val="top"/>
          </w:tcPr>
          <w:p>
            <w:pPr>
              <w:spacing w:beforeAutospacing="true" w:afterAutospacing="true"/>
              <w:jc w:val="left"/>
            </w:pPr>
            <w:r>
              <w:rPr>
                <w:rFonts w:ascii="Calibri" w:hAnsi="Calibri"/>
                <w:color w:val="000000"/>
                <w:sz w:val="22"/>
              </w:rPr>
              <w:t xml:space="preserve">SALT LAKE COUNTY</w:t>
            </w:r>
          </w:p>
        </w:tc>
        <w:tc>
          <w:tcPr>
            <w:vAlign w:val="top"/>
          </w:tcPr>
          <w:p>
            <w:pPr>
              <w:spacing w:beforeAutospacing="true" w:afterAutospacing="true"/>
              <w:jc w:val="left"/>
            </w:pPr>
            <w:r>
              <w:rPr>
                <w:rFonts w:ascii="Calibri" w:hAnsi="Calibri"/>
                <w:color w:val="000000"/>
                <w:sz w:val="22"/>
              </w:rPr>
              <w:t xml:space="preserve">Salt Lake County Housing &amp; Community Development</w:t>
            </w:r>
          </w:p>
        </w:tc>
      </w:tr>
      <w:tr>
        <w:trPr>
          <w:cantSplit w:val="true"/>
        </w:trPr>
        <w:tc>
          <w:tcPr>
            <w:vAlign w:val="top"/>
          </w:tcPr>
          <w:p>
            <w:pPr>
              <w:spacing w:beforeAutospacing="true" w:afterAutospacing="true"/>
              <w:jc w:val="left"/>
            </w:pPr>
            <w:r>
              <w:rPr>
                <w:rFonts w:ascii="Calibri" w:hAnsi="Calibri"/>
                <w:color w:val="000000"/>
                <w:sz w:val="22"/>
              </w:rPr>
              <w:t xml:space="preserve">ESG Administrator</w:t>
            </w:r>
          </w:p>
        </w:tc>
        <w:tc>
          <w:tcPr>
            <w:vAlign w:val="top"/>
          </w:tcPr>
          <w:p>
            <w:pPr>
              <w:spacing w:beforeAutospacing="true" w:afterAutospacing="true"/>
              <w:jc w:val="left"/>
            </w:pPr>
            <w:r>
              <w:rPr>
                <w:rFonts w:ascii="Calibri" w:hAnsi="Calibri"/>
                <w:color w:val="000000"/>
                <w:sz w:val="22"/>
              </w:rPr>
              <w:t xml:space="preserve">SALT LAKE COUNTY</w:t>
            </w:r>
          </w:p>
        </w:tc>
        <w:tc>
          <w:tcPr>
            <w:vAlign w:val="top"/>
          </w:tcPr>
          <w:p>
            <w:pPr>
              <w:spacing w:beforeAutospacing="true" w:afterAutospacing="true"/>
              <w:jc w:val="left"/>
            </w:pPr>
            <w:r>
              <w:rPr>
                <w:rFonts w:ascii="Calibri" w:hAnsi="Calibri"/>
                <w:color w:val="000000"/>
                <w:sz w:val="22"/>
              </w:rPr>
              <w:t xml:space="preserve">Salt Lake County Housing &amp; Community Development</w:t>
            </w:r>
          </w:p>
        </w:tc>
      </w:tr>
      <w:tr>
        <w:trPr>
          <w:cantSplit w:val="true"/>
        </w:trPr>
        <w:tc>
          <w:tcPr>
            <w:vAlign w:val="top"/>
          </w:tcPr>
          <w:p>
            <w:pPr>
              <w:spacing w:beforeAutospacing="true" w:afterAutospacing="true"/>
              <w:jc w:val="left"/>
            </w:pPr>
            <w:r>
              <w:rPr>
                <w:rFonts w:ascii="Calibri" w:hAnsi="Calibri"/>
                <w:color w:val="000000"/>
                <w:sz w:val="22"/>
              </w:rPr>
              <w:t xml:space="preserve">HOPWA-C Administrator</w:t>
            </w:r>
          </w:p>
        </w:tc>
        <w:tc>
          <w:tcPr>
            <w:vAlign w:val="top"/>
          </w:tcPr>
          <w:p>
            <w:pPr>
              <w:spacing w:beforeAutospacing="true" w:afterAutospacing="true"/>
              <w:jc w:val="left"/>
            </w:pPr>
            <w:r>
              <w:rPr>
                <w:rFonts w:ascii="Calibri" w:hAnsi="Calibri"/>
                <w:color w:val="000000"/>
                <w:sz w:val="22"/>
              </w:rPr>
              <w:t xml:space="preserve"> </w:t>
            </w:r>
          </w:p>
        </w:tc>
        <w:tc>
          <w:tcPr>
            <w:vAlign w:val="top"/>
          </w:tcPr>
          <w:p>
            <w:pPr>
              <w:spacing w:beforeAutospacing="true" w:afterAutospacing="true"/>
              <w:jc w:val="left"/>
            </w:pPr>
            <w:r>
              <w:rPr>
                <w:rFonts w:ascii="Calibri" w:hAnsi="Calibri"/>
                <w:color w:val="000000"/>
                <w:sz w:val="22"/>
              </w:rPr>
              <w:t xml:space="preserve"> </w:t>
            </w:r>
          </w:p>
        </w:tc>
      </w:tr>
    </w:tbl>
    <w:p>
      <w:pPr>
        <w:pStyle w:val="Caption"/>
        <w:jc w:val="center"/>
        <w:rPr>
          <w:rFonts w:asciiTheme="minorHAnsi" w:hAnsiTheme="minorHAnsi"/>
        </w:rPr>
      </w:pPr>
      <w:r>
        <w:rPr>
          <w:rFonts w:asciiTheme="minorHAnsi" w:hAnsiTheme="minorHAnsi"/>
        </w:rPr>
        <w:t xml:space="preserve">Table </w:t>
        <w:fldChar w:fldCharType="begin"/>
        <w:instrText xml:space="preserve"> SEQ Table \* ARABIC </w:instrText>
        <w:fldChar w:fldCharType="separate"/>
        <w:t>1</w:t>
        <w:fldChar w:fldCharType="end"/>
        <w:t>– Responsible Agencies</w:t>
      </w:r>
    </w:p>
    <w:p>
      <w:pPr>
        <w:spacing w:after="0" w:line="240" w:lineRule="auto"/>
        <w:rPr>
          <w:b/>
          <w:sz w:val="24"/>
          <w:szCs w:val="24"/>
        </w:rPr>
      </w:pPr>
    </w:p>
    <w:p>
      <w:pPr>
        <w:rPr>
          <w:b/>
          <w:sz w:val="24"/>
          <w:szCs w:val="24"/>
        </w:rPr>
      </w:pPr>
      <w:r>
        <w:rPr>
          <w:b/>
          <w:sz w:val="24"/>
          <w:szCs w:val="24"/>
        </w:rPr>
        <w:t>Narrative</w:t>
      </w:r>
    </w:p>
    <w:p>
      <w:pPr>
        <w:spacing w:beforeAutospacing="true" w:afterAutospacing="true"/>
        <w:rPr>
          <w:rFonts w:cs="Arial"/>
        </w:rPr>
      </w:pPr>
      <w:r>
        <w:rPr>
          <w:rFonts w:cs="Arial"/>
        </w:rPr>
        <w:t xml:space="preserve">Salt Lake County is the administrative agent for the Salt Lake County HOME Program Consortium, Emergency Solution Grant and the Salt Lake County CDBG Urban County.</w:t>
      </w:r>
    </w:p>
    <w:p>
      <w:pPr>
        <w:rPr>
          <w:b/>
          <w:sz w:val="24"/>
          <w:szCs w:val="24"/>
        </w:rPr>
      </w:pPr>
      <w:r>
        <w:rPr>
          <w:b/>
          <w:sz w:val="24"/>
          <w:szCs w:val="24"/>
        </w:rPr>
        <w:t>Consolidated Plan Public Contact Information</w:t>
      </w:r>
    </w:p>
    <w:p>
      <w:pPr>
        <w:spacing w:beforeAutospacing="true" w:afterAutospacing="true"/>
        <w:rPr>
          <w:rFonts w:cs="Arial"/>
        </w:rPr>
      </w:pPr>
      <w:r>
        <w:rPr>
          <w:rFonts w:cs="Arial"/>
        </w:rPr>
        <w:t xml:space="preserve">Randy Jepperson, 385-468-4886, </w:t>
      </w:r>
      <w:r>
        <w:rPr>
          <w:rFonts w:cs="Arial"/>
        </w:rPr>
        <w:t xml:space="preserve">rjepperson@slco.org</w:t>
      </w:r>
    </w:p>
    <w:p>
      <w:pPr>
        <w:pStyle w:val="Heading2"/>
        <w:keepNext w:val="false"/>
        <w:pageBreakBefore/>
        <w:widowControl w:val="false"/>
        <w:rPr>
          <w:rFonts w:ascii="Calibri" w:hAnsi="Calibri"/>
          <w:i w:val="false"/>
        </w:rPr>
        <w:sectPr>
          <w:headerReference r:id="rId8" w:type="even"/>
          <w:headerReference r:id="rId9" w:type="default"/>
          <w:footerReference r:id="rId10" w:type="even"/>
          <w:footerReference r:id="rId11" w:type="default"/>
          <w:headerReference r:id="rId12" w:type="first"/>
          <w:footerReference r:id="rId13" w:type="first"/>
          <w:pgSz w:w="12240" w:h="15840"/>
          <w:pgMar w:top="1440" w:right="1440" w:bottom="1440" w:left="1440" w:header="720" w:footer="720" w:gutter="0"/>
          <w:cols w:space="720"/>
          <w:docGrid w:linePitch="360"/>
        </w:sectPr>
      </w:pPr>
    </w:p>
    <w:p>
      <w:pPr>
        <w:pStyle w:val="Heading2"/>
        <w:keepNext w:val="false"/>
        <w:pageBreakBefore/>
        <w:widowControl w:val="false"/>
      </w:pPr>
      <w:r>
        <w:rPr>
          <w:rFonts w:ascii="Calibri" w:hAnsi="Calibri"/>
          <w:i w:val="false"/>
        </w:rPr>
        <w:t>PR-10 Consultation - 91.100, 91.110, 91.200(b), 91.300(b), 91.215(l) and 91.315(l)</w:t>
      </w:r>
    </w:p>
    <w:p>
      <w:pPr>
        <w:rPr>
          <w:b/>
          <w:sz w:val="24"/>
          <w:szCs w:val="24"/>
        </w:rPr>
      </w:pPr>
      <w:r>
        <w:rPr>
          <w:b/>
          <w:sz w:val="24"/>
          <w:szCs w:val="24"/>
        </w:rPr>
        <w:t>1.</w:t>
        <w:tab/>
        <w:t>Introduction</w:t>
      </w:r>
    </w:p>
    <w:p>
      <w:pPr>
        <w:spacing w:beforeAutospacing="true" w:afterAutospacing="true"/>
        <w:rPr>
          <w:rFonts w:cs="Arial"/>
        </w:rPr>
      </w:pPr>
      <w:r>
        <w:rPr>
          <w:rFonts w:cs="Arial"/>
        </w:rPr>
        <w:t xml:space="preserve"> As the administrative agent for the Home Program Consortium, Salt Lake County CDBG Urban County, ESG as well as the lead agency for the development of the Consolidated plan, Salt Lake County has several processes in place for coordination and collaboration with other public entities.  The 16 cities and four metro townships (outside of Salt Lake City) are all a part of the geographic area for the Salt Lake County consolidated plan.  </w:t>
      </w:r>
    </w:p>
    <w:p>
      <w:pPr>
        <w:spacing w:beforeAutospacing="true" w:afterAutospacing="true"/>
        <w:rPr>
          <w:rFonts w:cs="Arial"/>
        </w:rPr>
      </w:pPr>
      <w:r>
        <w:rPr>
          <w:rFonts w:cs="Arial"/>
        </w:rPr>
        <w:t xml:space="preserve">Five of those cities are CDBG entitlement cities and all are part of the HOME Consortium.  Each of the entitlement cities are developing their own consolidated plan which is included in the overall Salt Lake County Five-year consolidated plan for 2020-2024.  There is constant communication with these entities as the consolidated plan has been prepared.  Salt Lake County engaged two consultants; one for the development of the Community Engagement an Needs Assessment and the other for the development for housing Needs Assessment analysis.  The cities and townships have been included in those efforts particularly in the sharing of information that the consultants provided.  The cities and townships were helpful in making available the citizen survey to the residents of their geographic areas.  Responses to the survey particular to the individual cities was provided.  A special meeting with the city mayors was convened to share the purposes and scope of the Community Engagement and Needs Survey to gather their input.  The allocation of CDBG and HOME funding is done by citizen committees made up of representation from the various cities.  The results of their work then go to the individual mayors of the County for final review which is then forwarded to the mayor of Salt Lake County for approval.   These funding recommendations then become part of the Consolidated and Annual Action plan</w:t>
      </w:r>
    </w:p>
    <w:p>
      <w:pPr>
        <w:rPr>
          <w:b/>
          <w:sz w:val="24"/>
          <w:szCs w:val="24"/>
        </w:rPr>
      </w:pPr>
      <w:r>
        <w:rPr>
          <w:b/>
          <w:sz w:val="24"/>
          <w:szCs w:val="24"/>
        </w:rPr>
        <w:t>Provide a concise summary of the jurisdiction’s activities to enhance coordination between public and assisted housing providers and private and governmental health, mental health and service agencies (91.215(I)).</w:t>
      </w:r>
    </w:p>
    <w:p>
      <w:pPr>
        <w:spacing w:beforeAutospacing="true" w:afterAutospacing="true"/>
        <w:rPr>
          <w:rFonts w:cs="Arial"/>
        </w:rPr>
      </w:pPr>
      <w:r>
        <w:rPr>
          <w:rFonts w:cs="Arial"/>
          <w:b/>
        </w:rPr>
        <w:t xml:space="preserve">(CoC</w:t>
      </w:r>
      <w:r>
        <w:rPr>
          <w:rFonts w:cs="Arial"/>
        </w:rPr>
        <w:t xml:space="preserve">)-Preparation of Homeless needs assessment, strategic plan, homeless facilities</w:t>
      </w:r>
    </w:p>
    <w:p>
      <w:pPr>
        <w:spacing w:beforeAutospacing="true" w:afterAutospacing="true"/>
        <w:rPr>
          <w:rFonts w:cs="Arial"/>
        </w:rPr>
      </w:pPr>
      <w:r>
        <w:rPr>
          <w:rFonts w:cs="Arial"/>
          <w:b/>
        </w:rPr>
        <w:t xml:space="preserve">Mexican Consulate</w:t>
      </w:r>
      <w:r>
        <w:rPr>
          <w:rFonts w:cs="Arial"/>
        </w:rPr>
        <w:t xml:space="preserve">-Education and solicitation of feedback from Hispanic population on community needs</w:t>
      </w:r>
    </w:p>
    <w:p>
      <w:pPr>
        <w:spacing w:beforeAutospacing="true" w:afterAutospacing="true"/>
        <w:rPr>
          <w:rFonts w:cs="Arial"/>
        </w:rPr>
      </w:pPr>
      <w:r>
        <w:rPr>
          <w:rFonts w:cs="Arial"/>
          <w:b/>
        </w:rPr>
        <w:t xml:space="preserve">Council of Mayors-</w:t>
      </w:r>
      <w:r>
        <w:rPr>
          <w:rFonts w:cs="Arial"/>
        </w:rPr>
        <w:t xml:space="preserve">Input into the development of the Community Survey and feedback on community needs</w:t>
      </w:r>
    </w:p>
    <w:p>
      <w:pPr>
        <w:spacing w:beforeAutospacing="true" w:afterAutospacing="true"/>
        <w:rPr>
          <w:rFonts w:cs="Arial"/>
        </w:rPr>
      </w:pPr>
      <w:r>
        <w:rPr>
          <w:rFonts w:cs="Arial"/>
          <w:b/>
        </w:rPr>
        <w:t xml:space="preserve">Homeless individuals</w:t>
      </w:r>
      <w:r>
        <w:rPr>
          <w:rFonts w:cs="Arial"/>
        </w:rPr>
        <w:t xml:space="preserve">-Survey of homeless to get feedback on barriers and services that they need</w:t>
      </w:r>
    </w:p>
    <w:p>
      <w:pPr>
        <w:spacing w:beforeAutospacing="true" w:afterAutospacing="true"/>
        <w:rPr>
          <w:rFonts w:cs="Arial"/>
        </w:rPr>
      </w:pPr>
      <w:r>
        <w:rPr>
          <w:rFonts w:cs="Arial"/>
          <w:b/>
        </w:rPr>
        <w:t xml:space="preserve">Community Health Centers</w:t>
      </w:r>
      <w:r>
        <w:rPr>
          <w:rFonts w:cs="Arial"/>
        </w:rPr>
        <w:t xml:space="preserve">-Distribution of Community Needs Survey</w:t>
      </w:r>
    </w:p>
    <w:p>
      <w:pPr>
        <w:spacing w:beforeAutospacing="true" w:afterAutospacing="true"/>
        <w:rPr>
          <w:rFonts w:cs="Arial"/>
        </w:rPr>
      </w:pPr>
      <w:r>
        <w:rPr>
          <w:rFonts w:cs="Arial"/>
          <w:b/>
        </w:rPr>
        <w:t xml:space="preserve">Utahn’s Against Hunger              </w:t>
      </w:r>
      <w:r>
        <w:rPr>
          <w:rFonts w:cs="Arial"/>
        </w:rPr>
        <w:t xml:space="preserve">Distribution of Community Needs Assessment to food pantries, laundromats</w:t>
      </w:r>
    </w:p>
    <w:p>
      <w:pPr>
        <w:spacing w:beforeAutospacing="true" w:afterAutospacing="true"/>
        <w:rPr>
          <w:rFonts w:cs="Arial"/>
        </w:rPr>
      </w:pPr>
      <w:r>
        <w:rPr>
          <w:rFonts w:cs="Arial"/>
          <w:b/>
        </w:rPr>
        <w:t xml:space="preserve">Salt Lake County Mayor’s Diversity Dinner</w:t>
      </w:r>
      <w:r>
        <w:rPr>
          <w:rFonts w:cs="Arial"/>
        </w:rPr>
        <w:t xml:space="preserve">-Distribution of Community Needs Survey</w:t>
      </w:r>
    </w:p>
    <w:p>
      <w:pPr>
        <w:spacing w:beforeAutospacing="true" w:afterAutospacing="true"/>
        <w:rPr>
          <w:rFonts w:cs="Arial"/>
        </w:rPr>
      </w:pPr>
      <w:r>
        <w:rPr>
          <w:rFonts w:cs="Arial"/>
          <w:b/>
        </w:rPr>
        <w:t xml:space="preserve">Downtown Famers Market</w:t>
      </w:r>
      <w:r>
        <w:rPr>
          <w:rFonts w:cs="Arial"/>
        </w:rPr>
        <w:t xml:space="preserve">-       Distribution of Community Needs Survey</w:t>
      </w:r>
    </w:p>
    <w:p>
      <w:pPr>
        <w:spacing w:beforeAutospacing="true" w:afterAutospacing="true"/>
        <w:rPr>
          <w:rFonts w:cs="Arial"/>
        </w:rPr>
      </w:pPr>
      <w:r>
        <w:rPr>
          <w:rFonts w:cs="Arial"/>
          <w:b/>
        </w:rPr>
        <w:t xml:space="preserve">Private non-profit providers such as Volunteers of America, Odyssey House, Utah Community Action, Asian Association, Guadalupe Center</w:t>
      </w:r>
      <w:r>
        <w:rPr>
          <w:rFonts w:cs="Arial"/>
        </w:rPr>
        <w:t xml:space="preserve">     Distribution and response to Community Needs Survey.</w:t>
      </w:r>
    </w:p>
    <w:p>
      <w:pPr>
        <w:spacing w:beforeAutospacing="true" w:afterAutospacing="true"/>
        <w:rPr>
          <w:rFonts w:cs="Arial"/>
        </w:rPr>
      </w:pPr>
      <w:r>
        <w:rPr>
          <w:rFonts w:cs="Arial"/>
          <w:b/>
        </w:rPr>
        <w:t xml:space="preserve">Grants Coordination Committee</w:t>
      </w:r>
      <w:r>
        <w:rPr>
          <w:rFonts w:cs="Arial"/>
        </w:rPr>
        <w:t xml:space="preserve"> – group of local planners involved in HOME &amp; CDBG funding              Review and critique of community Needs Survey, response, and distribution of surveys</w:t>
      </w:r>
    </w:p>
    <w:p>
      <w:pPr>
        <w:spacing w:beforeAutospacing="true" w:afterAutospacing="true"/>
        <w:rPr>
          <w:rFonts w:cs="Arial"/>
        </w:rPr>
      </w:pPr>
      <w:r>
        <w:rPr>
          <w:rFonts w:cs="Arial"/>
          <w:b/>
        </w:rPr>
        <w:t xml:space="preserve">Salt Lake County Aging Services</w:t>
      </w:r>
      <w:r>
        <w:rPr>
          <w:rFonts w:cs="Arial"/>
        </w:rPr>
        <w:t xml:space="preserve"> Distribution of Community Needs Survey in Community Senior Centers</w:t>
      </w:r>
    </w:p>
    <w:p>
      <w:pPr>
        <w:spacing w:beforeAutospacing="true" w:afterAutospacing="true"/>
        <w:rPr>
          <w:rFonts w:cs="Arial"/>
        </w:rPr>
      </w:pPr>
      <w:r>
        <w:rPr>
          <w:rFonts w:cs="Arial"/>
          <w:b/>
        </w:rPr>
        <w:t xml:space="preserve">Salt Lake County Library Services-</w:t>
      </w:r>
      <w:r>
        <w:rPr>
          <w:rFonts w:cs="Arial"/>
        </w:rPr>
        <w:t xml:space="preserve">Distribution of Community Needs Survey in Salt Lake County Libraries</w:t>
      </w:r>
    </w:p>
    <w:p>
      <w:pPr>
        <w:spacing w:beforeAutospacing="true" w:afterAutospacing="true"/>
        <w:rPr>
          <w:rFonts w:cs="Arial"/>
        </w:rPr>
      </w:pPr>
      <w:r>
        <w:rPr>
          <w:rFonts w:cs="Arial"/>
        </w:rPr>
        <w:t xml:space="preserve">Salt Lake Valley Health Department         Distribution of Community Needs Survey in Health Clinics</w:t>
      </w:r>
    </w:p>
    <w:p>
      <w:pPr>
        <w:spacing w:beforeAutospacing="true" w:afterAutospacing="true"/>
        <w:rPr>
          <w:rFonts w:cs="Arial"/>
        </w:rPr>
      </w:pPr>
      <w:r>
        <w:rPr>
          <w:rFonts w:cs="Arial"/>
          <w:b/>
        </w:rPr>
        <w:t xml:space="preserve">County Clerks Office</w:t>
      </w:r>
      <w:r>
        <w:rPr>
          <w:rFonts w:cs="Arial"/>
        </w:rPr>
        <w:t xml:space="preserve">      Distribution of Community Needs Survey in Passport and Marriage License offices</w:t>
      </w:r>
    </w:p>
    <w:p>
      <w:pPr>
        <w:spacing w:beforeAutospacing="true" w:afterAutospacing="true"/>
        <w:rPr>
          <w:rFonts w:cs="Arial"/>
        </w:rPr>
      </w:pPr>
      <w:r>
        <w:rPr>
          <w:rFonts w:cs="Arial"/>
          <w:b/>
        </w:rPr>
        <w:t xml:space="preserve">United Way 211</w:t>
      </w:r>
      <w:r>
        <w:rPr>
          <w:rFonts w:cs="Arial"/>
        </w:rPr>
        <w:t xml:space="preserve">             Pulled a report of the top housing needs by jurisdiction for calendar year 2019</w:t>
      </w:r>
    </w:p>
    <w:p>
      <w:pPr>
        <w:spacing w:beforeAutospacing="true" w:afterAutospacing="true"/>
        <w:rPr>
          <w:rFonts w:cs="Arial"/>
        </w:rPr>
      </w:pPr>
      <w:r>
        <w:rPr>
          <w:rFonts w:cs="Arial"/>
          <w:b/>
        </w:rPr>
        <w:t xml:space="preserve">Housing Connect</w:t>
      </w:r>
      <w:r>
        <w:rPr>
          <w:rFonts w:cs="Arial"/>
        </w:rPr>
        <w:t xml:space="preserve">            Completion of the Public Housing Analysis and Needs Assessment and action plan.  Distribution of Community Needs Survey in Public Housing sites</w:t>
      </w:r>
    </w:p>
    <w:p>
      <w:pPr>
        <w:spacing w:beforeAutospacing="true" w:afterAutospacing="true"/>
        <w:rPr>
          <w:rFonts w:cs="Arial"/>
        </w:rPr>
      </w:pPr>
      <w:r>
        <w:rPr>
          <w:rFonts w:cs="Arial"/>
          <w:b/>
        </w:rPr>
        <w:t xml:space="preserve">University of Utah Kem Gardner Institute</w:t>
      </w:r>
      <w:r>
        <w:rPr>
          <w:rFonts w:cs="Arial"/>
        </w:rPr>
        <w:t xml:space="preserve">              Completion of Housing Needs Assessment and Analysis for Salt Lake County</w:t>
      </w:r>
    </w:p>
    <w:p>
      <w:pPr>
        <w:spacing w:beforeAutospacing="true" w:afterAutospacing="true"/>
        <w:rPr>
          <w:rFonts w:cs="Arial"/>
        </w:rPr>
      </w:pPr>
      <w:r>
        <w:rPr>
          <w:rFonts w:cs="Arial"/>
          <w:b/>
        </w:rPr>
        <w:t xml:space="preserve">Partner group</w:t>
      </w:r>
      <w:r>
        <w:rPr>
          <w:rFonts w:cs="Arial"/>
        </w:rPr>
        <w:t xml:space="preserve"> - Partner organizations, advocacy groups and local governments    Educate about the Community Engagement Process and Needs survey and provide feedback on outreach opportunities</w:t>
      </w:r>
    </w:p>
    <w:p>
      <w:pPr>
        <w:spacing w:beforeAutospacing="true" w:afterAutospacing="true"/>
        <w:rPr>
          <w:rFonts w:cs="Arial"/>
        </w:rPr>
      </w:pPr>
      <w:r>
        <w:rPr>
          <w:rFonts w:cs="Arial"/>
          <w:b/>
        </w:rPr>
        <w:t xml:space="preserve">Domestic Violence Focus Group</w:t>
      </w:r>
      <w:r>
        <w:rPr>
          <w:rFonts w:cs="Arial"/>
        </w:rPr>
        <w:t xml:space="preserve">              Identify gaps in services to those experiencing domestic violence</w:t>
      </w:r>
    </w:p>
    <w:p>
      <w:pPr>
        <w:spacing w:beforeAutospacing="true" w:afterAutospacing="true"/>
        <w:rPr>
          <w:rFonts w:cs="Arial"/>
        </w:rPr>
      </w:pPr>
      <w:r>
        <w:rPr>
          <w:rFonts w:cs="Arial"/>
          <w:b/>
        </w:rPr>
        <w:t xml:space="preserve">Department of Workforce Services</w:t>
      </w:r>
      <w:r>
        <w:rPr>
          <w:rFonts w:cs="Arial"/>
        </w:rPr>
        <w:t xml:space="preserve">        Distribution of Community Needs Assessment Surveys in employment centers</w:t>
      </w:r>
    </w:p>
    <w:p>
      <w:pPr>
        <w:spacing w:beforeAutospacing="true" w:afterAutospacing="true"/>
        <w:rPr>
          <w:rFonts w:cs="Arial"/>
        </w:rPr>
      </w:pPr>
      <w:r>
        <w:rPr>
          <w:rFonts w:cs="Arial"/>
          <w:b/>
        </w:rPr>
        <w:t xml:space="preserve">Hispanic Heritage Parade and Street Festival</w:t>
      </w:r>
      <w:r>
        <w:rPr>
          <w:rFonts w:cs="Arial"/>
        </w:rPr>
        <w:t xml:space="preserve">              Distribution and response to Community Needs  Surveys</w:t>
      </w:r>
    </w:p>
    <w:p>
      <w:pPr>
        <w:spacing w:beforeAutospacing="true" w:afterAutospacing="true"/>
        <w:rPr>
          <w:rFonts w:cs="Arial"/>
        </w:rPr>
      </w:pPr>
      <w:r>
        <w:rPr>
          <w:rFonts w:cs="Arial"/>
          <w:b/>
        </w:rPr>
        <w:t xml:space="preserve">Housing Element Open House </w:t>
      </w:r>
      <w:r>
        <w:rPr>
          <w:rFonts w:cs="Arial"/>
        </w:rPr>
        <w:t xml:space="preserve">(Kearns, White City, Magna))             Educate about Community Needs process and distribute surveys</w:t>
      </w:r>
    </w:p>
    <w:p>
      <w:pPr>
        <w:spacing w:beforeAutospacing="true" w:afterAutospacing="true"/>
        <w:rPr>
          <w:rFonts w:cs="Arial"/>
        </w:rPr>
      </w:pPr>
      <w:r>
        <w:rPr>
          <w:rFonts w:cs="Arial"/>
          <w:b/>
        </w:rPr>
        <w:t xml:space="preserve">Fair Housing Conference</w:t>
      </w:r>
      <w:r>
        <w:rPr>
          <w:rFonts w:cs="Arial"/>
        </w:rPr>
        <w:t xml:space="preserve">             Educate about Community Needs process and distribute surveys</w:t>
      </w:r>
    </w:p>
    <w:p>
      <w:pPr>
        <w:spacing w:beforeAutospacing="true" w:afterAutospacing="true"/>
        <w:rPr>
          <w:rFonts w:cs="Arial"/>
        </w:rPr>
      </w:pPr>
      <w:r>
        <w:rPr>
          <w:rFonts w:cs="Arial"/>
        </w:rPr>
        <w:t xml:space="preserve"> </w:t>
      </w:r>
    </w:p>
    <w:p>
      <w:pPr>
        <w:spacing w:beforeAutospacing="true" w:afterAutospacing="true"/>
        <w:rPr>
          <w:rFonts w:cs="Arial"/>
        </w:rPr>
      </w:pPr>
    </w:p>
    <w:p>
      <w:pPr>
        <w:rPr>
          <w:b/>
          <w:sz w:val="24"/>
          <w:szCs w:val="24"/>
        </w:rPr>
      </w:pPr>
      <w:r>
        <w:rPr>
          <w:b/>
          <w:sz w:val="24"/>
          <w:szCs w:val="24"/>
        </w:rPr>
        <w:t>Describe coordination with the Continuum of Care and efforts to address the needs of homeless persons (particularly chronically homeless individuals and families, families with children, veterans, and unaccompanied youth) and persons at risk of homelessness</w:t>
      </w:r>
    </w:p>
    <w:p>
      <w:pPr>
        <w:spacing w:beforeAutospacing="true" w:afterAutospacing="true"/>
        <w:rPr>
          <w:rFonts w:cs="Arial"/>
        </w:rPr>
      </w:pPr>
      <w:r>
        <w:rPr>
          <w:rFonts w:cs="Arial"/>
        </w:rPr>
        <w:t xml:space="preserve">County staff are members of the Salt Lake Valley Coalition to End Homelessness that is the entity that oversees the Continuum of Care (CoC).  One of the primary goals of the SLVCEH is to end homeless in Salt Lake County for all homeless populations.  The geographic area of Salt Lake County8 is the same covered the Salt Lake County CoC.  To do this, the SLVCEH has developed a broad partnership with a variety of stakeholders in the community.  A subgroup of the SLVCEH (priority setting), staffed by Salt Lake County provides input and analysis of the CoC programs that are recommended to be funded.  Data gathered and reviewed by the CoC in the application process for funding the application for CoC funded but is shared with County staff who plan on how services will be delivered with ESG.  The CoC provided the information for the Consolidated Plan in the areas of NA – 40 Homeless Needs Assessment, Ma-30 Homeless Facilities and Services, and SP-60 Homelessness Strategy</w:t>
      </w:r>
    </w:p>
    <w:p>
      <w:pPr>
        <w:rPr>
          <w:b/>
          <w:sz w:val="24"/>
          <w:szCs w:val="24"/>
        </w:rPr>
      </w:pPr>
      <w:r>
        <w:rPr>
          <w:b/>
          <w:sz w:val="24"/>
          <w:szCs w:val="24"/>
        </w:rPr>
        <w:t>Describe consultation with the Continuum(s) of Care that serves the jurisdiction's area in determining how to allocate ESG funds, develop performance standards and evaluate outcomes, and develop funding, policies and procedures for the administration of HMIS</w:t>
      </w:r>
    </w:p>
    <w:p>
      <w:pPr>
        <w:spacing w:beforeAutospacing="true" w:afterAutospacing="true"/>
        <w:rPr>
          <w:rFonts w:cs="Arial"/>
        </w:rPr>
      </w:pPr>
      <w:r>
        <w:rPr>
          <w:rFonts w:cs="Arial"/>
        </w:rPr>
        <w:t xml:space="preserve">County staff serve as a member of the priorities committee of the Continuum of Care which reviews, analyses and makes recommendations for funding of CoC programs. Information used in that decision-making process includes data on program needs, gaps in services, performance, outcomes, etc.  That data along with reports from current ESG providers is considered when making funding decisions on the ESG dollars that come to Salt Lake county.  The goal is to make homelessness rare, brief and non-recurring.  The populations serviced by ESG and CoC programs are similar and being aware of CoC activities allows the county to use ESG funds in a supportive but non duplicative manner. HUD requires the use of an HMIS to track and report out on outcomes of service for both CoC and HMIS.  County staff are members of the HMIS Steering Committee which sets policies and procedures for use and information provided by HMIS. Because HMIS is a statewide information system, the steering committee s represented by the other two CoC’s within the state of Utah.  In these discussions on HIMIS, the representatives bring to the table both a respect for the management needs of the system but also needs for a system that can meet provider needs.</w:t>
      </w:r>
    </w:p>
    <w:p>
      <w:pPr>
        <w:spacing w:beforeAutospacing="true" w:afterAutospacing="true"/>
        <w:rPr>
          <w:rFonts w:cs="Arial"/>
        </w:rPr>
      </w:pPr>
      <w:r>
        <w:rPr>
          <w:rFonts w:cs="Arial"/>
        </w:rPr>
        <w:t xml:space="preserve"> </w:t>
      </w:r>
    </w:p>
    <w:p>
      <w:pPr>
        <w:rPr>
          <w:b/>
          <w:sz w:val="24"/>
          <w:szCs w:val="24"/>
        </w:rPr>
      </w:pPr>
      <w:r>
        <w:rPr>
          <w:b/>
          <w:sz w:val="24"/>
          <w:szCs w:val="24"/>
        </w:rPr>
        <w:t>2.</w:t>
        <w:tab/>
        <w:t>Describe Agencies, groups, organizations and others who participated in the process and describe the jurisdictions consultations with housing, social service agencies and other entities</w:t>
      </w:r>
    </w:p>
    <w:p>
      <w:pPr>
        <w:keepNext/>
        <w:widowControl w:val="false"/>
        <w:spacing w:after="0" w:line="240" w:lineRule="auto"/>
        <w:rPr>
          <w:b/>
          <w:bCs/>
        </w:rPr>
        <w:sectPr>
          <w:pgSz w:w="12240" w:h="15840"/>
          <w:pgMar w:top="1440" w:right="1440" w:bottom="1440" w:left="1440" w:header="720" w:footer="720" w:gutter="0"/>
          <w:cols w:space="720"/>
          <w:docGrid w:linePitch="360"/>
        </w:sectPr>
      </w:pPr>
    </w:p>
    <w:p>
      <w:pPr>
        <w:pStyle w:val="Caption"/>
        <w:rPr>
          <w:rFonts w:asciiTheme="minorHAnsi" w:hAnsiTheme="minorHAnsi"/>
        </w:rPr>
      </w:pPr>
      <w:r>
        <w:rPr>
          <w:rFonts w:asciiTheme="minorHAnsi" w:hAnsiTheme="minorHAnsi"/>
        </w:rPr>
        <w:t xml:space="preserve">Table </w:t>
        <w:fldChar w:fldCharType="begin"/>
        <w:instrText xml:space="preserve"> SEQ Table \* ARABIC </w:instrText>
        <w:fldChar w:fldCharType="separate"/>
        <w:t>2</w:t>
        <w:fldChar w:fldCharType="end"/>
        <w:t>– Agencies, groups, organizations who participated</w:t>
      </w:r>
    </w:p>
    <w:tbl>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Pr>
      <w:tblGrid/>
      <w:tr>
        <w:trPr>
          <w:cantSplit w:val="true"/>
        </w:trPr>
        <w:tc>
          <w:tcPr>
            <w:vMerge w:val="restart"/>
          </w:tcPr>
          <w:p>
            <w:pPr>
              <w:keepNext w:val="true"/>
              <w:spacing w:before="100" w:after="0"/>
            </w:pPr>
            <w:r>
              <w:rPr>
                <w:rFonts w:ascii="Calibri" w:hAnsi="Calibri"/>
                <w:color w:val="000000"/>
                <w:sz w:val="22"/>
              </w:rPr>
              <w:t xml:space="preserve">1</w:t>
            </w:r>
          </w:p>
        </w:tc>
        <w:tc>
          <w:p>
            <w:pPr>
              <w:keepNext w:val="true"/>
              <w:spacing w:before="100" w:after="0"/>
              <w:rPr>
                <w:b/>
              </w:rPr>
            </w:pPr>
            <w:r>
              <w:rPr>
                <w:b/>
              </w:rPr>
              <w:t>Agency/Group/Organization</w:t>
            </w:r>
          </w:p>
        </w:tc>
        <w:tc>
          <w:p>
            <w:pPr>
              <w:spacing w:before="100" w:after="0"/>
            </w:pPr>
            <w:r>
              <w:rPr>
                <w:rFonts w:ascii="Calibri" w:hAnsi="Calibri"/>
                <w:color w:val="000000"/>
                <w:sz w:val="22"/>
              </w:rPr>
              <w:t xml:space="preserve">HOUSING AUTHORITY OF THE COUNTY OF SALT LAKE</w:t>
            </w:r>
          </w:p>
        </w:tc>
      </w:tr>
      <w:tr>
        <w:trPr>
          <w:cantSplit w:val="true"/>
        </w:trPr>
        <w:tc>
          <w:tcPr>
            <w:vMerge/>
          </w:tcPr>
          <w:p/>
        </w:tc>
        <w:tc>
          <w:p>
            <w:pPr>
              <w:keepNext w:val="true"/>
              <w:spacing w:before="100" w:after="0"/>
              <w:rPr>
                <w:b/>
              </w:rPr>
            </w:pPr>
            <w:r>
              <w:rPr>
                <w:b/>
              </w:rPr>
              <w:t>Agency/Group/Organization Type</w:t>
            </w:r>
          </w:p>
        </w:tc>
        <w:tc>
          <w:p>
            <w:pPr>
              <w:spacing w:before="100" w:after="0"/>
            </w:pPr>
            <w:r>
              <w:rPr>
                <w:rFonts w:ascii="Calibri" w:hAnsi="Calibri"/>
                <w:color w:val="000000"/>
                <w:sz w:val="22"/>
              </w:rPr>
              <w:t xml:space="preserve">PHA</w:t>
            </w:r>
          </w:p>
        </w:tc>
      </w:tr>
      <w:tr>
        <w:trPr>
          <w:cantSplit w:val="true"/>
        </w:trPr>
        <w:tc>
          <w:tcPr>
            <w:vMerge/>
          </w:tcPr>
          <w:p/>
        </w:tc>
        <w:tc>
          <w:p>
            <w:pPr>
              <w:keepNext w:val="true"/>
              <w:spacing w:before="100" w:after="0"/>
              <w:rPr>
                <w:b/>
              </w:rPr>
            </w:pPr>
            <w:r>
              <w:rPr>
                <w:b/>
              </w:rPr>
              <w:t>What section of the Plan was addressed by Consultation?</w:t>
            </w:r>
          </w:p>
        </w:tc>
        <w:tc>
          <w:p>
            <w:pPr>
              <w:spacing w:before="100" w:after="0"/>
            </w:pPr>
            <w:r>
              <w:rPr>
                <w:rFonts w:ascii="Calibri" w:hAnsi="Calibri"/>
                <w:color w:val="000000"/>
                <w:sz w:val="22"/>
              </w:rPr>
              <w:t xml:space="preserve">Housing Need Assessment</w:t>
            </w:r>
            <w:r>
              <w:rPr>
                <w:rFonts w:ascii="Calibri" w:hAnsi="Calibri"/>
                <w:color w:val="000000"/>
                <w:sz w:val="22"/>
              </w:rPr>
              <w:br/>
              <w:t xml:space="preserve"/>
            </w:r>
            <w:r>
              <w:rPr>
                <w:rFonts w:ascii="Calibri" w:hAnsi="Calibri"/>
                <w:color w:val="000000"/>
                <w:sz w:val="22"/>
              </w:rPr>
              <w:t xml:space="preserve">Lead-based Paint Strategy</w:t>
            </w:r>
            <w:r>
              <w:rPr>
                <w:rFonts w:ascii="Calibri" w:hAnsi="Calibri"/>
                <w:color w:val="000000"/>
                <w:sz w:val="22"/>
              </w:rPr>
              <w:br/>
              <w:t xml:space="preserve"/>
            </w:r>
            <w:r>
              <w:rPr>
                <w:rFonts w:ascii="Calibri" w:hAnsi="Calibri"/>
                <w:color w:val="000000"/>
                <w:sz w:val="22"/>
              </w:rPr>
              <w:t xml:space="preserve">Homelessness Strategy</w:t>
            </w:r>
            <w:r>
              <w:rPr>
                <w:rFonts w:ascii="Calibri" w:hAnsi="Calibri"/>
                <w:color w:val="000000"/>
                <w:sz w:val="22"/>
              </w:rPr>
              <w:br/>
              <w:t xml:space="preserve"/>
            </w:r>
            <w:r>
              <w:rPr>
                <w:rFonts w:ascii="Calibri" w:hAnsi="Calibri"/>
                <w:color w:val="000000"/>
                <w:sz w:val="22"/>
              </w:rPr>
              <w:t xml:space="preserve">Homeless Needs - Chronically homeless</w:t>
            </w:r>
            <w:r>
              <w:rPr>
                <w:rFonts w:ascii="Calibri" w:hAnsi="Calibri"/>
                <w:color w:val="000000"/>
                <w:sz w:val="22"/>
              </w:rPr>
              <w:br/>
              <w:t xml:space="preserve"/>
            </w:r>
            <w:r>
              <w:rPr>
                <w:rFonts w:ascii="Calibri" w:hAnsi="Calibri"/>
                <w:color w:val="000000"/>
                <w:sz w:val="22"/>
              </w:rPr>
              <w:t xml:space="preserve">Homeless Needs - Families with children</w:t>
            </w:r>
            <w:r>
              <w:rPr>
                <w:rFonts w:ascii="Calibri" w:hAnsi="Calibri"/>
                <w:color w:val="000000"/>
                <w:sz w:val="22"/>
              </w:rPr>
              <w:br/>
              <w:t xml:space="preserve"/>
            </w:r>
            <w:r>
              <w:rPr>
                <w:rFonts w:ascii="Calibri" w:hAnsi="Calibri"/>
                <w:color w:val="000000"/>
                <w:sz w:val="22"/>
              </w:rPr>
              <w:t xml:space="preserve">Homelessness Needs - Veterans</w:t>
            </w:r>
            <w:r>
              <w:rPr>
                <w:rFonts w:ascii="Calibri" w:hAnsi="Calibri"/>
                <w:color w:val="000000"/>
                <w:sz w:val="22"/>
              </w:rPr>
              <w:br/>
              <w:t xml:space="preserve"/>
            </w:r>
            <w:r>
              <w:rPr>
                <w:rFonts w:ascii="Calibri" w:hAnsi="Calibri"/>
                <w:color w:val="000000"/>
                <w:sz w:val="22"/>
              </w:rPr>
              <w:t xml:space="preserve">Homelessness Needs - Unaccompanied youth</w:t>
            </w:r>
          </w:p>
        </w:tc>
      </w:tr>
      <w:tr>
        <w:trPr>
          <w:cantSplit w:val="true"/>
        </w:trPr>
        <w:tc>
          <w:tcPr>
            <w:vMerge/>
          </w:tcPr>
          <w:p/>
        </w:tc>
        <w:tc>
          <w:p>
            <w:pPr>
              <w:keepNext w:val="true"/>
              <w:spacing w:before="100" w:after="0"/>
              <w:rPr>
                <w:b/>
              </w:rPr>
            </w:pPr>
            <w:r>
              <w:rPr>
                <w:b/>
              </w:rPr>
              <w:t>How was the Agency/Group/Organization consulted and what are the anticipated outcomes of the consultation or areas for improved coordination?</w:t>
            </w:r>
          </w:p>
        </w:tc>
        <w:tc>
          <w:p>
            <w:pPr>
              <w:spacing w:before="100" w:after="0"/>
            </w:pPr>
            <w:r>
              <w:rPr>
                <w:rFonts w:ascii="Calibri" w:hAnsi="Calibri"/>
                <w:color w:val="000000"/>
                <w:sz w:val="22"/>
              </w:rPr>
              <w:t xml:space="preserve">We reviewed their agency plan and they reviewed the Consolidated Plan. We had several direct conversations on the needs in the community and asked for their input.</w:t>
            </w:r>
          </w:p>
        </w:tc>
      </w:tr>
      <w:tr>
        <w:trPr>
          <w:cantSplit w:val="true"/>
        </w:trPr>
        <w:tc>
          <w:tcPr>
            <w:vMerge w:val="restart"/>
          </w:tcPr>
          <w:p>
            <w:pPr>
              <w:keepNext w:val="true"/>
              <w:spacing w:before="100" w:after="0"/>
            </w:pPr>
            <w:r>
              <w:rPr>
                <w:rFonts w:ascii="Calibri" w:hAnsi="Calibri"/>
                <w:color w:val="000000"/>
                <w:sz w:val="22"/>
              </w:rPr>
              <w:t xml:space="preserve">2</w:t>
            </w:r>
          </w:p>
        </w:tc>
        <w:tc>
          <w:p>
            <w:pPr>
              <w:keepNext w:val="true"/>
              <w:spacing w:before="100" w:after="0"/>
              <w:rPr>
                <w:b/>
              </w:rPr>
            </w:pPr>
            <w:r>
              <w:rPr>
                <w:b/>
              </w:rPr>
              <w:t>Agency/Group/Organization</w:t>
            </w:r>
          </w:p>
        </w:tc>
        <w:tc>
          <w:p>
            <w:pPr>
              <w:spacing w:before="100" w:after="0"/>
            </w:pPr>
            <w:r>
              <w:rPr>
                <w:rFonts w:ascii="Calibri" w:hAnsi="Calibri"/>
                <w:color w:val="000000"/>
                <w:sz w:val="22"/>
              </w:rPr>
              <w:t xml:space="preserve">COMMUNITY DEVELOPMENT CORPORATION OF UTAH</w:t>
            </w:r>
          </w:p>
        </w:tc>
      </w:tr>
      <w:tr>
        <w:trPr>
          <w:cantSplit w:val="true"/>
        </w:trPr>
        <w:tc>
          <w:tcPr>
            <w:vMerge/>
          </w:tcPr>
          <w:p/>
        </w:tc>
        <w:tc>
          <w:p>
            <w:pPr>
              <w:keepNext w:val="true"/>
              <w:spacing w:before="100" w:after="0"/>
              <w:rPr>
                <w:b/>
              </w:rPr>
            </w:pPr>
            <w:r>
              <w:rPr>
                <w:b/>
              </w:rPr>
              <w:t>Agency/Group/Organization Type</w:t>
            </w:r>
          </w:p>
        </w:tc>
        <w:tc>
          <w:p>
            <w:pPr>
              <w:spacing w:before="100" w:after="0"/>
            </w:pPr>
            <w:r>
              <w:rPr>
                <w:rFonts w:ascii="Calibri" w:hAnsi="Calibri"/>
                <w:color w:val="000000"/>
                <w:sz w:val="22"/>
              </w:rPr>
              <w:t xml:space="preserve">Housing</w:t>
            </w:r>
            <w:r>
              <w:rPr>
                <w:rFonts w:ascii="Calibri" w:hAnsi="Calibri"/>
                <w:color w:val="000000"/>
                <w:sz w:val="22"/>
              </w:rPr>
              <w:br/>
              <w:t xml:space="preserve"/>
            </w:r>
            <w:r>
              <w:rPr>
                <w:rFonts w:ascii="Calibri" w:hAnsi="Calibri"/>
                <w:color w:val="000000"/>
                <w:sz w:val="22"/>
              </w:rPr>
              <w:t xml:space="preserve">Services-Education</w:t>
            </w:r>
            <w:r>
              <w:rPr>
                <w:rFonts w:ascii="Calibri" w:hAnsi="Calibri"/>
                <w:color w:val="000000"/>
                <w:sz w:val="22"/>
              </w:rPr>
              <w:br/>
              <w:t xml:space="preserve"/>
            </w:r>
            <w:r>
              <w:rPr>
                <w:rFonts w:ascii="Calibri" w:hAnsi="Calibri"/>
                <w:color w:val="000000"/>
                <w:sz w:val="22"/>
              </w:rPr>
              <w:t xml:space="preserve">Community Development Financial Institution</w:t>
            </w:r>
          </w:p>
        </w:tc>
      </w:tr>
      <w:tr>
        <w:trPr>
          <w:cantSplit w:val="true"/>
        </w:trPr>
        <w:tc>
          <w:tcPr>
            <w:vMerge/>
          </w:tcPr>
          <w:p/>
        </w:tc>
        <w:tc>
          <w:p>
            <w:pPr>
              <w:keepNext w:val="true"/>
              <w:spacing w:before="100" w:after="0"/>
              <w:rPr>
                <w:b/>
              </w:rPr>
            </w:pPr>
            <w:r>
              <w:rPr>
                <w:b/>
              </w:rPr>
              <w:t>What section of the Plan was addressed by Consultation?</w:t>
            </w:r>
          </w:p>
        </w:tc>
        <w:tc>
          <w:p>
            <w:pPr>
              <w:spacing w:before="100" w:after="0"/>
            </w:pPr>
            <w:r>
              <w:rPr>
                <w:rFonts w:ascii="Calibri" w:hAnsi="Calibri"/>
                <w:color w:val="000000"/>
                <w:sz w:val="22"/>
              </w:rPr>
              <w:t xml:space="preserve">Housing Need Assessment</w:t>
            </w:r>
          </w:p>
        </w:tc>
      </w:tr>
      <w:tr>
        <w:trPr>
          <w:cantSplit w:val="true"/>
        </w:trPr>
        <w:tc>
          <w:tcPr>
            <w:vMerge/>
          </w:tcPr>
          <w:p/>
        </w:tc>
        <w:tc>
          <w:p>
            <w:pPr>
              <w:keepNext w:val="true"/>
              <w:spacing w:before="100" w:after="0"/>
              <w:rPr>
                <w:b/>
              </w:rPr>
            </w:pPr>
            <w:r>
              <w:rPr>
                <w:b/>
              </w:rPr>
              <w:t>How was the Agency/Group/Organization consulted and what are the anticipated outcomes of the consultation or areas for improved coordination?</w:t>
            </w:r>
          </w:p>
        </w:tc>
        <w:tc>
          <w:p>
            <w:pPr>
              <w:spacing w:before="100" w:after="0"/>
            </w:pPr>
            <w:r>
              <w:rPr>
                <w:rFonts w:ascii="Calibri" w:hAnsi="Calibri"/>
                <w:color w:val="000000"/>
                <w:sz w:val="22"/>
              </w:rPr>
              <w:t xml:space="preserve">We met directly with the agency and asked for their input on the greatest needs in the community.</w:t>
            </w:r>
          </w:p>
        </w:tc>
      </w:tr>
      <w:tr>
        <w:trPr>
          <w:cantSplit w:val="true"/>
        </w:trPr>
        <w:tc>
          <w:tcPr>
            <w:vMerge w:val="restart"/>
          </w:tcPr>
          <w:p>
            <w:pPr>
              <w:keepNext w:val="true"/>
              <w:spacing w:before="100" w:after="0"/>
            </w:pPr>
            <w:r>
              <w:rPr>
                <w:rFonts w:ascii="Calibri" w:hAnsi="Calibri"/>
                <w:color w:val="000000"/>
                <w:sz w:val="22"/>
              </w:rPr>
              <w:t xml:space="preserve">3</w:t>
            </w:r>
          </w:p>
        </w:tc>
        <w:tc>
          <w:p>
            <w:pPr>
              <w:keepNext w:val="true"/>
              <w:spacing w:before="100" w:after="0"/>
              <w:rPr>
                <w:b/>
              </w:rPr>
            </w:pPr>
            <w:r>
              <w:rPr>
                <w:b/>
              </w:rPr>
              <w:t>Agency/Group/Organization</w:t>
            </w:r>
          </w:p>
        </w:tc>
        <w:tc>
          <w:p>
            <w:pPr>
              <w:spacing w:before="100" w:after="0"/>
            </w:pPr>
            <w:r>
              <w:rPr>
                <w:rFonts w:ascii="Calibri" w:hAnsi="Calibri"/>
                <w:color w:val="000000"/>
                <w:sz w:val="22"/>
              </w:rPr>
              <w:t xml:space="preserve">Salt Lake Community Action Program</w:t>
            </w:r>
          </w:p>
        </w:tc>
      </w:tr>
      <w:tr>
        <w:trPr>
          <w:cantSplit w:val="true"/>
        </w:trPr>
        <w:tc>
          <w:tcPr>
            <w:vMerge/>
          </w:tcPr>
          <w:p/>
        </w:tc>
        <w:tc>
          <w:p>
            <w:pPr>
              <w:keepNext w:val="true"/>
              <w:spacing w:before="100" w:after="0"/>
              <w:rPr>
                <w:b/>
              </w:rPr>
            </w:pPr>
            <w:r>
              <w:rPr>
                <w:b/>
              </w:rPr>
              <w:t>Agency/Group/Organization Type</w:t>
            </w:r>
          </w:p>
        </w:tc>
        <w:tc>
          <w:p>
            <w:pPr>
              <w:spacing w:before="100" w:after="0"/>
            </w:pPr>
            <w:r>
              <w:rPr>
                <w:rFonts w:ascii="Calibri" w:hAnsi="Calibri"/>
                <w:color w:val="000000"/>
                <w:sz w:val="22"/>
              </w:rPr>
              <w:t xml:space="preserve">Housing</w:t>
            </w:r>
            <w:r>
              <w:rPr>
                <w:rFonts w:ascii="Calibri" w:hAnsi="Calibri"/>
                <w:color w:val="000000"/>
                <w:sz w:val="22"/>
              </w:rPr>
              <w:br/>
              <w:t xml:space="preserve"/>
            </w:r>
            <w:r>
              <w:rPr>
                <w:rFonts w:ascii="Calibri" w:hAnsi="Calibri"/>
                <w:color w:val="000000"/>
                <w:sz w:val="22"/>
              </w:rPr>
              <w:t xml:space="preserve">Services - Housing</w:t>
            </w:r>
            <w:r>
              <w:rPr>
                <w:rFonts w:ascii="Calibri" w:hAnsi="Calibri"/>
                <w:color w:val="000000"/>
                <w:sz w:val="22"/>
              </w:rPr>
              <w:br/>
              <w:t xml:space="preserve"/>
            </w:r>
            <w:r>
              <w:rPr>
                <w:rFonts w:ascii="Calibri" w:hAnsi="Calibri"/>
                <w:color w:val="000000"/>
                <w:sz w:val="22"/>
              </w:rPr>
              <w:t xml:space="preserve">Services-Persons with Disabilities</w:t>
            </w:r>
            <w:r>
              <w:rPr>
                <w:rFonts w:ascii="Calibri" w:hAnsi="Calibri"/>
                <w:color w:val="000000"/>
                <w:sz w:val="22"/>
              </w:rPr>
              <w:br/>
              <w:t xml:space="preserve"/>
            </w:r>
            <w:r>
              <w:rPr>
                <w:rFonts w:ascii="Calibri" w:hAnsi="Calibri"/>
                <w:color w:val="000000"/>
                <w:sz w:val="22"/>
              </w:rPr>
              <w:t xml:space="preserve">Services-Persons with HIV/AIDS</w:t>
            </w:r>
          </w:p>
        </w:tc>
      </w:tr>
      <w:tr>
        <w:trPr>
          <w:cantSplit w:val="true"/>
        </w:trPr>
        <w:tc>
          <w:tcPr>
            <w:vMerge/>
          </w:tcPr>
          <w:p/>
        </w:tc>
        <w:tc>
          <w:p>
            <w:pPr>
              <w:keepNext w:val="true"/>
              <w:spacing w:before="100" w:after="0"/>
              <w:rPr>
                <w:b/>
              </w:rPr>
            </w:pPr>
            <w:r>
              <w:rPr>
                <w:b/>
              </w:rPr>
              <w:t>What section of the Plan was addressed by Consultation?</w:t>
            </w:r>
          </w:p>
        </w:tc>
        <w:tc>
          <w:p>
            <w:pPr>
              <w:spacing w:before="100" w:after="0"/>
            </w:pPr>
            <w:r>
              <w:rPr>
                <w:rFonts w:ascii="Calibri" w:hAnsi="Calibri"/>
                <w:color w:val="000000"/>
                <w:sz w:val="22"/>
              </w:rPr>
              <w:t xml:space="preserve">Housing Need Assessment</w:t>
            </w:r>
            <w:r>
              <w:rPr>
                <w:rFonts w:ascii="Calibri" w:hAnsi="Calibri"/>
                <w:color w:val="000000"/>
                <w:sz w:val="22"/>
              </w:rPr>
              <w:br/>
              <w:t xml:space="preserve"/>
            </w:r>
            <w:r>
              <w:rPr>
                <w:rFonts w:ascii="Calibri" w:hAnsi="Calibri"/>
                <w:color w:val="000000"/>
                <w:sz w:val="22"/>
              </w:rPr>
              <w:t xml:space="preserve">Homelessness Strategy</w:t>
            </w:r>
            <w:r>
              <w:rPr>
                <w:rFonts w:ascii="Calibri" w:hAnsi="Calibri"/>
                <w:color w:val="000000"/>
                <w:sz w:val="22"/>
              </w:rPr>
              <w:br/>
              <w:t xml:space="preserve"/>
            </w:r>
            <w:r>
              <w:rPr>
                <w:rFonts w:ascii="Calibri" w:hAnsi="Calibri"/>
                <w:color w:val="000000"/>
                <w:sz w:val="22"/>
              </w:rPr>
              <w:t xml:space="preserve">Homeless Needs - Families with children</w:t>
            </w:r>
            <w:r>
              <w:rPr>
                <w:rFonts w:ascii="Calibri" w:hAnsi="Calibri"/>
                <w:color w:val="000000"/>
                <w:sz w:val="22"/>
              </w:rPr>
              <w:br/>
              <w:t xml:space="preserve"/>
            </w:r>
            <w:r>
              <w:rPr>
                <w:rFonts w:ascii="Calibri" w:hAnsi="Calibri"/>
                <w:color w:val="000000"/>
                <w:sz w:val="22"/>
              </w:rPr>
              <w:t xml:space="preserve">Homelessness Needs - Veterans</w:t>
            </w:r>
            <w:r>
              <w:rPr>
                <w:rFonts w:ascii="Calibri" w:hAnsi="Calibri"/>
                <w:color w:val="000000"/>
                <w:sz w:val="22"/>
              </w:rPr>
              <w:br/>
              <w:t xml:space="preserve"/>
            </w:r>
            <w:r>
              <w:rPr>
                <w:rFonts w:ascii="Calibri" w:hAnsi="Calibri"/>
                <w:color w:val="000000"/>
                <w:sz w:val="22"/>
              </w:rPr>
              <w:t xml:space="preserve">Anti-poverty Strategy</w:t>
            </w:r>
          </w:p>
        </w:tc>
      </w:tr>
      <w:tr>
        <w:trPr>
          <w:cantSplit w:val="true"/>
        </w:trPr>
        <w:tc>
          <w:tcPr>
            <w:vMerge/>
          </w:tcPr>
          <w:p/>
        </w:tc>
        <w:tc>
          <w:p>
            <w:pPr>
              <w:keepNext w:val="true"/>
              <w:spacing w:before="100" w:after="0"/>
              <w:rPr>
                <w:b/>
              </w:rPr>
            </w:pPr>
            <w:r>
              <w:rPr>
                <w:b/>
              </w:rPr>
              <w:t>How was the Agency/Group/Organization consulted and what are the anticipated outcomes of the consultation or areas for improved coordination?</w:t>
            </w:r>
          </w:p>
        </w:tc>
        <w:tc>
          <w:p>
            <w:pPr>
              <w:spacing w:before="100" w:after="0"/>
            </w:pPr>
            <w:r>
              <w:rPr>
                <w:rFonts w:ascii="Calibri" w:hAnsi="Calibri"/>
                <w:color w:val="000000"/>
                <w:sz w:val="22"/>
              </w:rPr>
              <w:t xml:space="preserve">We met with them directly and asked for their input. They presented to the HOME allocation committee, and spoke at the public hearing on April 6, 2015.</w:t>
            </w:r>
          </w:p>
        </w:tc>
      </w:tr>
      <w:tr>
        <w:trPr>
          <w:cantSplit w:val="true"/>
        </w:trPr>
        <w:tc>
          <w:tcPr>
            <w:vMerge w:val="restart"/>
          </w:tcPr>
          <w:p>
            <w:pPr>
              <w:keepNext w:val="true"/>
              <w:spacing w:before="100" w:after="0"/>
            </w:pPr>
            <w:r>
              <w:rPr>
                <w:rFonts w:ascii="Calibri" w:hAnsi="Calibri"/>
                <w:color w:val="000000"/>
                <w:sz w:val="22"/>
              </w:rPr>
              <w:t xml:space="preserve">4</w:t>
            </w:r>
          </w:p>
        </w:tc>
        <w:tc>
          <w:p>
            <w:pPr>
              <w:keepNext w:val="true"/>
              <w:spacing w:before="100" w:after="0"/>
              <w:rPr>
                <w:b/>
              </w:rPr>
            </w:pPr>
            <w:r>
              <w:rPr>
                <w:b/>
              </w:rPr>
              <w:t>Agency/Group/Organization</w:t>
            </w:r>
          </w:p>
        </w:tc>
        <w:tc>
          <w:p>
            <w:pPr>
              <w:spacing w:before="100" w:after="0"/>
            </w:pPr>
            <w:r>
              <w:rPr>
                <w:rFonts w:ascii="Calibri" w:hAnsi="Calibri"/>
                <w:color w:val="000000"/>
                <w:sz w:val="22"/>
              </w:rPr>
              <w:t xml:space="preserve">ASSIST INC</w:t>
            </w:r>
          </w:p>
        </w:tc>
      </w:tr>
      <w:tr>
        <w:trPr>
          <w:cantSplit w:val="true"/>
        </w:trPr>
        <w:tc>
          <w:tcPr>
            <w:vMerge/>
          </w:tcPr>
          <w:p/>
        </w:tc>
        <w:tc>
          <w:p>
            <w:pPr>
              <w:keepNext w:val="true"/>
              <w:spacing w:before="100" w:after="0"/>
              <w:rPr>
                <w:b/>
              </w:rPr>
            </w:pPr>
            <w:r>
              <w:rPr>
                <w:b/>
              </w:rPr>
              <w:t>Agency/Group/Organization Type</w:t>
            </w:r>
          </w:p>
        </w:tc>
        <w:tc>
          <w:p>
            <w:pPr>
              <w:spacing w:before="100" w:after="0"/>
            </w:pPr>
            <w:r>
              <w:rPr>
                <w:rFonts w:ascii="Calibri" w:hAnsi="Calibri"/>
                <w:color w:val="000000"/>
                <w:sz w:val="22"/>
              </w:rPr>
              <w:t xml:space="preserve">Housing</w:t>
            </w:r>
            <w:r>
              <w:rPr>
                <w:rFonts w:ascii="Calibri" w:hAnsi="Calibri"/>
                <w:color w:val="000000"/>
                <w:sz w:val="22"/>
              </w:rPr>
              <w:br/>
              <w:t xml:space="preserve"/>
            </w:r>
            <w:r>
              <w:rPr>
                <w:rFonts w:ascii="Calibri" w:hAnsi="Calibri"/>
                <w:color w:val="000000"/>
                <w:sz w:val="22"/>
              </w:rPr>
              <w:t xml:space="preserve">Services - Housing</w:t>
            </w:r>
            <w:r>
              <w:rPr>
                <w:rFonts w:ascii="Calibri" w:hAnsi="Calibri"/>
                <w:color w:val="000000"/>
                <w:sz w:val="22"/>
              </w:rPr>
              <w:br/>
              <w:t xml:space="preserve"/>
            </w:r>
            <w:r>
              <w:rPr>
                <w:rFonts w:ascii="Calibri" w:hAnsi="Calibri"/>
                <w:color w:val="000000"/>
                <w:sz w:val="22"/>
              </w:rPr>
              <w:t xml:space="preserve">Services-Persons with Disabilities</w:t>
            </w:r>
          </w:p>
        </w:tc>
      </w:tr>
      <w:tr>
        <w:trPr>
          <w:cantSplit w:val="true"/>
        </w:trPr>
        <w:tc>
          <w:tcPr>
            <w:vMerge/>
          </w:tcPr>
          <w:p/>
        </w:tc>
        <w:tc>
          <w:p>
            <w:pPr>
              <w:keepNext w:val="true"/>
              <w:spacing w:before="100" w:after="0"/>
              <w:rPr>
                <w:b/>
              </w:rPr>
            </w:pPr>
            <w:r>
              <w:rPr>
                <w:b/>
              </w:rPr>
              <w:t>What section of the Plan was addressed by Consultation?</w:t>
            </w:r>
          </w:p>
        </w:tc>
        <w:tc>
          <w:p>
            <w:pPr>
              <w:spacing w:before="100" w:after="0"/>
            </w:pPr>
            <w:r>
              <w:rPr>
                <w:rFonts w:ascii="Calibri" w:hAnsi="Calibri"/>
                <w:color w:val="000000"/>
                <w:sz w:val="22"/>
              </w:rPr>
              <w:t xml:space="preserve">Housing Need Assessment</w:t>
            </w:r>
          </w:p>
        </w:tc>
      </w:tr>
      <w:tr>
        <w:trPr>
          <w:cantSplit w:val="true"/>
        </w:trPr>
        <w:tc>
          <w:tcPr>
            <w:vMerge/>
          </w:tcPr>
          <w:p/>
        </w:tc>
        <w:tc>
          <w:p>
            <w:pPr>
              <w:keepNext w:val="true"/>
              <w:spacing w:before="100" w:after="0"/>
              <w:rPr>
                <w:b/>
              </w:rPr>
            </w:pPr>
            <w:r>
              <w:rPr>
                <w:b/>
              </w:rPr>
              <w:t>How was the Agency/Group/Organization consulted and what are the anticipated outcomes of the consultation or areas for improved coordination?</w:t>
            </w:r>
          </w:p>
        </w:tc>
        <w:tc>
          <w:p>
            <w:pPr>
              <w:spacing w:before="100" w:after="0"/>
            </w:pPr>
            <w:r>
              <w:rPr>
                <w:rFonts w:ascii="Calibri" w:hAnsi="Calibri"/>
                <w:color w:val="000000"/>
                <w:sz w:val="22"/>
              </w:rPr>
              <w:t xml:space="preserve">We met with them directly and asked for their input, they spoke at the public hearing on April 6, 2015 on the need for emergency home repairs, and accessilbity deisng</w:t>
            </w:r>
          </w:p>
        </w:tc>
      </w:tr>
      <w:tr>
        <w:trPr>
          <w:cantSplit w:val="true"/>
        </w:trPr>
        <w:tc>
          <w:tcPr>
            <w:vMerge w:val="restart"/>
          </w:tcPr>
          <w:p>
            <w:pPr>
              <w:keepNext w:val="true"/>
              <w:spacing w:before="100" w:after="0"/>
            </w:pPr>
            <w:r>
              <w:rPr>
                <w:rFonts w:ascii="Calibri" w:hAnsi="Calibri"/>
                <w:color w:val="000000"/>
                <w:sz w:val="22"/>
              </w:rPr>
              <w:t xml:space="preserve">5</w:t>
            </w:r>
          </w:p>
        </w:tc>
        <w:tc>
          <w:p>
            <w:pPr>
              <w:keepNext w:val="true"/>
              <w:spacing w:before="100" w:after="0"/>
              <w:rPr>
                <w:b/>
              </w:rPr>
            </w:pPr>
            <w:r>
              <w:rPr>
                <w:b/>
              </w:rPr>
              <w:t>Agency/Group/Organization</w:t>
            </w:r>
          </w:p>
        </w:tc>
        <w:tc>
          <w:p>
            <w:pPr>
              <w:spacing w:before="100" w:after="0"/>
            </w:pPr>
            <w:r>
              <w:rPr>
                <w:rFonts w:ascii="Calibri" w:hAnsi="Calibri"/>
                <w:color w:val="000000"/>
                <w:sz w:val="22"/>
              </w:rPr>
              <w:t xml:space="preserve">University of Utah Health Plans</w:t>
            </w:r>
          </w:p>
        </w:tc>
      </w:tr>
      <w:tr>
        <w:trPr>
          <w:cantSplit w:val="true"/>
        </w:trPr>
        <w:tc>
          <w:tcPr>
            <w:vMerge/>
          </w:tcPr>
          <w:p/>
        </w:tc>
        <w:tc>
          <w:p>
            <w:pPr>
              <w:keepNext w:val="true"/>
              <w:spacing w:before="100" w:after="0"/>
              <w:rPr>
                <w:b/>
              </w:rPr>
            </w:pPr>
            <w:r>
              <w:rPr>
                <w:b/>
              </w:rPr>
              <w:t>Agency/Group/Organization Type</w:t>
            </w:r>
          </w:p>
        </w:tc>
        <w:tc>
          <w:p>
            <w:pPr>
              <w:spacing w:before="100" w:after="0"/>
            </w:pPr>
            <w:r>
              <w:rPr>
                <w:rFonts w:ascii="Calibri" w:hAnsi="Calibri"/>
                <w:color w:val="000000"/>
                <w:sz w:val="22"/>
              </w:rPr>
              <w:t xml:space="preserve">Services-Health</w:t>
            </w:r>
          </w:p>
        </w:tc>
      </w:tr>
      <w:tr>
        <w:trPr>
          <w:cantSplit w:val="true"/>
        </w:trPr>
        <w:tc>
          <w:tcPr>
            <w:vMerge/>
          </w:tcPr>
          <w:p/>
        </w:tc>
        <w:tc>
          <w:p>
            <w:pPr>
              <w:keepNext w:val="true"/>
              <w:spacing w:before="100" w:after="0"/>
              <w:rPr>
                <w:b/>
              </w:rPr>
            </w:pPr>
            <w:r>
              <w:rPr>
                <w:b/>
              </w:rPr>
              <w:t>What section of the Plan was addressed by Consultation?</w:t>
            </w:r>
          </w:p>
        </w:tc>
        <w:tc>
          <w:p>
            <w:pPr>
              <w:spacing w:before="100" w:after="0"/>
            </w:pPr>
            <w:r>
              <w:rPr>
                <w:rFonts w:ascii="Calibri" w:hAnsi="Calibri"/>
                <w:color w:val="000000"/>
                <w:sz w:val="22"/>
              </w:rPr>
              <w:t xml:space="preserve">Housing Need Assessment</w:t>
            </w:r>
          </w:p>
        </w:tc>
      </w:tr>
      <w:tr>
        <w:trPr>
          <w:cantSplit w:val="true"/>
        </w:trPr>
        <w:tc>
          <w:tcPr>
            <w:vMerge/>
          </w:tcPr>
          <w:p/>
        </w:tc>
        <w:tc>
          <w:p>
            <w:pPr>
              <w:keepNext w:val="true"/>
              <w:spacing w:before="100" w:after="0"/>
              <w:rPr>
                <w:b/>
              </w:rPr>
            </w:pPr>
            <w:r>
              <w:rPr>
                <w:b/>
              </w:rPr>
              <w:t>How was the Agency/Group/Organization consulted and what are the anticipated outcomes of the consultation or areas for improved coordination?</w:t>
            </w:r>
          </w:p>
        </w:tc>
        <w:tc>
          <w:p>
            <w:pPr>
              <w:spacing w:before="100" w:after="0"/>
            </w:pPr>
            <w:r>
              <w:rPr>
                <w:rFonts w:ascii="Calibri" w:hAnsi="Calibri"/>
                <w:color w:val="000000"/>
                <w:sz w:val="22"/>
              </w:rPr>
              <w:t xml:space="preserve">We are working with the U of U health plan in assessing needs of their patients, and working to develop plan of action to help them.</w:t>
            </w:r>
          </w:p>
        </w:tc>
      </w:tr>
    </w:tbl>
    <w:p/>
    <w:p>
      <w:pPr>
        <w:rPr>
          <w:b/>
          <w:sz w:val="24"/>
          <w:szCs w:val="24"/>
        </w:rPr>
      </w:pPr>
      <w:r>
        <w:rPr>
          <w:b/>
          <w:sz w:val="24"/>
          <w:szCs w:val="24"/>
        </w:rPr>
        <w:t>Identify any Agency Types not consulted and provide rationale for not consulting</w:t>
      </w:r>
    </w:p>
    <w:p>
      <w:pPr>
        <w:spacing w:beforeAutospacing="true" w:afterAutospacing="true"/>
        <w:rPr>
          <w:rFonts w:cs="Arial"/>
        </w:rPr>
      </w:pPr>
      <w:r>
        <w:rPr>
          <w:rFonts w:cs="Arial"/>
        </w:rPr>
        <w:t xml:space="preserve">Outreach and contact was made to all known agencies</w:t>
      </w:r>
    </w:p>
    <w:p>
      <w:pPr>
        <w:rPr>
          <w:rFonts w:cs="Arial"/>
        </w:rPr>
      </w:pPr>
    </w:p>
    <w:p>
      <w:pPr>
        <w:keepNext/>
        <w:rPr>
          <w:b/>
          <w:sz w:val="24"/>
          <w:szCs w:val="24"/>
        </w:rPr>
      </w:pPr>
      <w:r>
        <w:rPr>
          <w:b/>
          <w:sz w:val="24"/>
          <w:szCs w:val="24"/>
        </w:rPr>
        <w:t>Other local/regional/state/federal planning efforts considered when preparing the Plan</w:t>
      </w:r>
    </w:p>
    <w:tbl>
      <w:tblPr>
        <w:tblW w:w="5000" w:type="pct"/>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firstRow="1" w:lastRow="1" w:firstColumn="1" w:lastColumn="1" w:noHBand="0" w:noVBand="0" w:val="01E0"/>
      </w:tblPr>
      <w:tblGrid>
        <w:gridCol w:w="3135"/>
        <w:gridCol w:w="3353"/>
        <w:gridCol w:w="3088"/>
      </w:tblGrid>
      <w:tr>
        <w:trPr>
          <w:cantSplit/>
          <w:tblHeader/>
        </w:trPr>
        <w:tc>
          <w:tcPr>
            <w:tcW w:w="4392" w:type="dxa"/>
          </w:tcPr>
          <w:p>
            <w:pPr>
              <w:keepNext/>
              <w:widowControl w:val="false"/>
              <w:spacing w:after="0" w:line="240" w:lineRule="auto"/>
              <w:jc w:val="center"/>
              <w:rPr>
                <w:b/>
                <w:bCs/>
              </w:rPr>
            </w:pPr>
            <w:r>
              <w:rPr>
                <w:b/>
                <w:bCs/>
              </w:rPr>
              <w:t>Name of Plan</w:t>
            </w:r>
          </w:p>
        </w:tc>
        <w:tc>
          <w:tcPr>
            <w:tcW w:w="4392" w:type="dxa"/>
          </w:tcPr>
          <w:p>
            <w:pPr>
              <w:spacing w:after="0" w:line="240" w:lineRule="auto"/>
              <w:jc w:val="center"/>
              <w:rPr>
                <w:b/>
                <w:bCs/>
              </w:rPr>
            </w:pPr>
            <w:r>
              <w:rPr>
                <w:b/>
                <w:bCs/>
              </w:rPr>
              <w:t>Lead Organization</w:t>
            </w:r>
          </w:p>
        </w:tc>
        <w:tc>
          <w:tcPr>
            <w:tcW w:w="4392" w:type="dxa"/>
          </w:tcPr>
          <w:p>
            <w:pPr>
              <w:keepNext/>
              <w:widowControl w:val="false"/>
              <w:spacing w:after="0" w:line="240" w:lineRule="auto"/>
              <w:jc w:val="center"/>
              <w:rPr>
                <w:b/>
                <w:bCs/>
              </w:rPr>
            </w:pPr>
            <w:r>
              <w:rPr>
                <w:b/>
                <w:bCs/>
              </w:rPr>
              <w:t>How do the goals of your Strategic Plan overlap with the goals of each plan?</w:t>
            </w:r>
          </w:p>
        </w:tc>
      </w:tr>
      <w:tr>
        <w:trPr>
          <w:cantSplit w:val="true"/>
        </w:trPr>
        <w:tc>
          <w:tcPr>
            <w:vAlign w:val="top"/>
          </w:tcPr>
          <w:p>
            <w:pPr>
              <w:spacing w:beforeAutospacing="true" w:afterAutospacing="true"/>
              <w:jc w:val="left"/>
            </w:pPr>
            <w:r>
              <w:rPr>
                <w:rFonts w:ascii="Calibri" w:hAnsi="Calibri"/>
                <w:color w:val="000000"/>
                <w:sz w:val="22"/>
              </w:rPr>
              <w:t xml:space="preserve">Continuum of Care</w:t>
            </w:r>
          </w:p>
        </w:tc>
        <w:tc>
          <w:tcPr>
            <w:vAlign w:val="top"/>
          </w:tcPr>
          <w:p>
            <w:pPr>
              <w:spacing w:beforeAutospacing="true" w:afterAutospacing="true"/>
              <w:jc w:val="left"/>
            </w:pPr>
            <w:r>
              <w:rPr>
                <w:rFonts w:ascii="Calibri" w:hAnsi="Calibri"/>
                <w:color w:val="000000"/>
                <w:sz w:val="22"/>
              </w:rPr>
              <w:t xml:space="preserve">Salt Lake County</w:t>
            </w:r>
          </w:p>
        </w:tc>
        <w:tc>
          <w:tcPr>
            <w:vAlign w:val="top"/>
          </w:tcPr>
          <w:p>
            <w:pPr>
              <w:spacing w:beforeAutospacing="true" w:afterAutospacing="true"/>
              <w:jc w:val="left"/>
            </w:pPr>
            <w:r>
              <w:rPr>
                <w:rFonts w:ascii="Calibri" w:hAnsi="Calibri"/>
                <w:color w:val="000000"/>
                <w:sz w:val="22"/>
              </w:rPr>
              <w:t xml:space="preserve">The Strategic Plan over lap with the goals of each plan, in that Salt Lake County administers both programs and works closely with agencies to coordinate all efforts.</w:t>
            </w:r>
          </w:p>
        </w:tc>
      </w:tr>
    </w:tbl>
    <w:p>
      <w:pPr>
        <w:pStyle w:val="Caption"/>
        <w:jc w:val="center"/>
      </w:pPr>
      <w:r>
        <w:t xml:space="preserve">Table </w:t>
        <w:fldChar w:fldCharType="begin"/>
        <w:instrText xml:space="preserve"> SEQ Table \* ARABIC </w:instrText>
        <w:fldChar w:fldCharType="separate"/>
        <w:t>3</w:t>
        <w:fldChar w:fldCharType="end"/>
        <w:t>– Other local / regional / federal planning efforts</w:t>
      </w:r>
    </w:p>
    <w:p>
      <w:pPr>
        <w:rPr>
          <w:b/>
          <w:sz w:val="24"/>
          <w:szCs w:val="24"/>
        </w:rPr>
      </w:pPr>
    </w:p>
    <w:p>
      <w:pPr>
        <w:rPr>
          <w:b/>
          <w:sz w:val="24"/>
          <w:szCs w:val="24"/>
        </w:rPr>
      </w:pPr>
      <w:r>
        <w:rPr>
          <w:b/>
          <w:sz w:val="24"/>
          <w:szCs w:val="24"/>
        </w:rPr>
        <w:t>Describe cooperation and coordination with other public entities, including the State and any adjacent units of general local government, in the implementation of the Consolidated Plan (91.215(l))</w:t>
      </w:r>
    </w:p>
    <w:p>
      <w:pPr>
        <w:spacing w:beforeAutospacing="true" w:afterAutospacing="true"/>
        <w:rPr>
          <w:rFonts w:cs="Arial"/>
        </w:rPr>
      </w:pPr>
      <w:r>
        <w:rPr>
          <w:rFonts w:cs="Arial"/>
        </w:rPr>
        <w:t xml:space="preserve"> The key to full implementation of the Salt Lake County Conosrtium Connsolidated Plan is to build it on the platform of the development of the plan. The greatest need is to take a coordinated effort to mitigate the impact of the COVID 19 thourgh use of funds to help those with the greatest needs. Listed below are the different partners and programs we will work with.</w:t>
      </w:r>
    </w:p>
    <w:p>
      <w:pPr>
        <w:spacing w:beforeAutospacing="true" w:afterAutospacing="true"/>
        <w:rPr>
          <w:rFonts w:cs="Arial"/>
        </w:rPr>
      </w:pPr>
      <w:r>
        <w:rPr>
          <w:rFonts w:cs="Arial"/>
          <w:b/>
        </w:rPr>
        <w:t xml:space="preserve">(CoC</w:t>
      </w:r>
      <w:r>
        <w:rPr>
          <w:rFonts w:cs="Arial"/>
        </w:rPr>
        <w:t xml:space="preserve">)-Implement strategic plan, coordiantion of services for the homeless</w:t>
      </w:r>
    </w:p>
    <w:p>
      <w:pPr>
        <w:spacing w:beforeAutospacing="true" w:afterAutospacing="true"/>
        <w:rPr>
          <w:rFonts w:cs="Arial"/>
        </w:rPr>
      </w:pPr>
      <w:r>
        <w:rPr>
          <w:rFonts w:cs="Arial"/>
          <w:b/>
        </w:rPr>
        <w:t xml:space="preserve">Council of Mayors-</w:t>
      </w:r>
      <w:r>
        <w:rPr>
          <w:rFonts w:cs="Arial"/>
        </w:rPr>
        <w:br/>
        <w:t xml:space="preserve"/>
      </w:r>
    </w:p>
    <w:p>
      <w:pPr>
        <w:spacing w:beforeAutospacing="true" w:afterAutospacing="true"/>
        <w:rPr>
          <w:rFonts w:cs="Arial"/>
        </w:rPr>
      </w:pPr>
      <w:r>
        <w:rPr>
          <w:rFonts w:cs="Arial"/>
          <w:b/>
        </w:rPr>
        <w:t xml:space="preserve">Homeless individuals</w:t>
      </w:r>
      <w:r>
        <w:rPr>
          <w:rFonts w:cs="Arial"/>
        </w:rPr>
        <w:t xml:space="preserve">-Survey of homeless to get feedback on barriers and services that they need</w:t>
      </w:r>
    </w:p>
    <w:p>
      <w:pPr>
        <w:spacing w:beforeAutospacing="true" w:afterAutospacing="true"/>
        <w:rPr>
          <w:rFonts w:cs="Arial"/>
        </w:rPr>
      </w:pPr>
      <w:r>
        <w:rPr>
          <w:rFonts w:cs="Arial"/>
          <w:b/>
        </w:rPr>
        <w:t xml:space="preserve">Utahn’s Against Hunger           </w:t>
      </w:r>
    </w:p>
    <w:p>
      <w:pPr>
        <w:spacing w:beforeAutospacing="true" w:afterAutospacing="true"/>
        <w:rPr>
          <w:rFonts w:cs="Arial"/>
        </w:rPr>
      </w:pPr>
      <w:r>
        <w:rPr>
          <w:rFonts w:cs="Arial"/>
          <w:b/>
        </w:rPr>
        <w:t xml:space="preserve"> </w:t>
      </w:r>
    </w:p>
    <w:p>
      <w:pPr>
        <w:spacing w:beforeAutospacing="true" w:afterAutospacing="true"/>
        <w:rPr>
          <w:rFonts w:cs="Arial"/>
        </w:rPr>
      </w:pPr>
      <w:r>
        <w:rPr>
          <w:rFonts w:cs="Arial"/>
        </w:rPr>
        <w:t xml:space="preserve">.</w:t>
      </w:r>
    </w:p>
    <w:p>
      <w:pPr>
        <w:spacing w:beforeAutospacing="true" w:afterAutospacing="true"/>
        <w:rPr>
          <w:rFonts w:cs="Arial"/>
        </w:rPr>
      </w:pPr>
      <w:r>
        <w:rPr>
          <w:rFonts w:cs="Arial"/>
          <w:b/>
        </w:rPr>
        <w:t xml:space="preserve">Grants Coordination Committee</w:t>
      </w:r>
      <w:r>
        <w:rPr>
          <w:rFonts w:cs="Arial"/>
        </w:rPr>
        <w:t xml:space="preserve"> – </w:t>
      </w:r>
    </w:p>
    <w:p>
      <w:pPr>
        <w:spacing w:beforeAutospacing="true" w:afterAutospacing="true"/>
        <w:rPr>
          <w:rFonts w:cs="Arial"/>
        </w:rPr>
      </w:pPr>
      <w:r>
        <w:rPr>
          <w:rFonts w:cs="Arial"/>
          <w:b/>
        </w:rPr>
        <w:t xml:space="preserve">Salt Lake County Aging Services</w:t>
      </w:r>
      <w:r>
        <w:rPr>
          <w:rFonts w:cs="Arial"/>
        </w:rPr>
        <w:t xml:space="preserve"> </w:t>
      </w:r>
    </w:p>
    <w:p>
      <w:pPr>
        <w:spacing w:beforeAutospacing="true" w:afterAutospacing="true"/>
        <w:rPr>
          <w:rFonts w:cs="Arial"/>
        </w:rPr>
      </w:pPr>
      <w:r>
        <w:rPr>
          <w:rFonts w:cs="Arial"/>
        </w:rPr>
        <w:t xml:space="preserve">Salt Lake Valley Health Department         </w:t>
      </w:r>
    </w:p>
    <w:p>
      <w:pPr>
        <w:spacing w:beforeAutospacing="true" w:afterAutospacing="true"/>
        <w:rPr>
          <w:rFonts w:cs="Arial"/>
        </w:rPr>
      </w:pPr>
      <w:r>
        <w:rPr>
          <w:rFonts w:cs="Arial"/>
          <w:b/>
        </w:rPr>
        <w:t xml:space="preserve">United Way </w:t>
      </w:r>
      <w:r>
        <w:rPr>
          <w:rFonts w:cs="Arial"/>
        </w:rPr>
        <w:t xml:space="preserve">          </w:t>
      </w:r>
    </w:p>
    <w:p>
      <w:pPr>
        <w:spacing w:beforeAutospacing="true" w:afterAutospacing="true"/>
        <w:rPr>
          <w:rFonts w:cs="Arial"/>
        </w:rPr>
      </w:pPr>
      <w:r>
        <w:rPr>
          <w:rFonts w:cs="Arial"/>
          <w:b/>
        </w:rPr>
        <w:t xml:space="preserve">Housing Connect</w:t>
      </w:r>
      <w:r>
        <w:rPr>
          <w:rFonts w:cs="Arial"/>
        </w:rPr>
        <w:t xml:space="preserve">            </w:t>
      </w:r>
    </w:p>
    <w:p>
      <w:pPr>
        <w:spacing w:beforeAutospacing="true" w:afterAutospacing="true"/>
        <w:rPr>
          <w:rFonts w:cs="Arial"/>
        </w:rPr>
      </w:pPr>
      <w:r>
        <w:rPr>
          <w:rFonts w:cs="Arial"/>
          <w:b/>
        </w:rPr>
        <w:t xml:space="preserve">University of Utah Kem Gardner Institute</w:t>
      </w:r>
      <w:r>
        <w:rPr>
          <w:rFonts w:cs="Arial"/>
        </w:rPr>
        <w:t xml:space="preserve">           </w:t>
      </w:r>
    </w:p>
    <w:p>
      <w:pPr>
        <w:spacing w:beforeAutospacing="true" w:afterAutospacing="true"/>
        <w:rPr>
          <w:rFonts w:cs="Arial"/>
        </w:rPr>
      </w:pPr>
      <w:r>
        <w:rPr>
          <w:rFonts w:cs="Arial"/>
          <w:b/>
        </w:rPr>
        <w:t xml:space="preserve">Domestic Violence Focus Group</w:t>
      </w:r>
      <w:r>
        <w:rPr>
          <w:rFonts w:cs="Arial"/>
        </w:rPr>
        <w:t xml:space="preserve">            </w:t>
      </w:r>
    </w:p>
    <w:p>
      <w:pPr>
        <w:spacing w:beforeAutospacing="true" w:afterAutospacing="true"/>
        <w:rPr>
          <w:rFonts w:cs="Arial"/>
        </w:rPr>
      </w:pPr>
      <w:r>
        <w:rPr>
          <w:rFonts w:cs="Arial"/>
          <w:b/>
        </w:rPr>
        <w:t xml:space="preserve">Department of Workforce Services</w:t>
      </w:r>
      <w:r>
        <w:rPr>
          <w:rFonts w:cs="Arial"/>
        </w:rPr>
        <w:t xml:space="preserve">      </w:t>
      </w:r>
    </w:p>
    <w:p>
      <w:pPr>
        <w:spacing w:beforeAutospacing="true" w:afterAutospacing="true"/>
        <w:rPr>
          <w:rFonts w:cs="Arial"/>
        </w:rPr>
      </w:pPr>
      <w:r>
        <w:rPr>
          <w:rFonts w:cs="Arial"/>
          <w:b/>
        </w:rPr>
        <w:t xml:space="preserve">Hispanic Heritage Parade and Street Festival</w:t>
      </w:r>
      <w:r>
        <w:rPr>
          <w:rFonts w:cs="Arial"/>
        </w:rPr>
        <w:t xml:space="preserve">              </w:t>
      </w:r>
    </w:p>
    <w:p>
      <w:pPr>
        <w:spacing w:beforeAutospacing="true" w:afterAutospacing="true"/>
        <w:rPr>
          <w:rFonts w:cs="Arial"/>
        </w:rPr>
      </w:pPr>
      <w:r>
        <w:rPr>
          <w:rFonts w:cs="Arial"/>
          <w:b/>
        </w:rPr>
        <w:t xml:space="preserve">Housing Element Open House </w:t>
      </w:r>
      <w:r>
        <w:rPr>
          <w:rFonts w:cs="Arial"/>
        </w:rPr>
        <w:t xml:space="preserve">(Kearns, White City, Magna))         </w:t>
      </w:r>
    </w:p>
    <w:p>
      <w:pPr>
        <w:spacing w:beforeAutospacing="true" w:afterAutospacing="true"/>
        <w:rPr>
          <w:rFonts w:cs="Arial"/>
        </w:rPr>
      </w:pPr>
      <w:r>
        <w:rPr>
          <w:rFonts w:cs="Arial"/>
          <w:b/>
        </w:rPr>
        <w:t xml:space="preserve"> Circle</w:t>
      </w:r>
    </w:p>
    <w:p>
      <w:pPr>
        <w:spacing w:beforeAutospacing="true" w:afterAutospacing="true"/>
        <w:rPr>
          <w:rFonts w:cs="Arial"/>
        </w:rPr>
      </w:pPr>
      <w:r>
        <w:rPr>
          <w:rFonts w:cs="Arial"/>
          <w:b/>
        </w:rPr>
        <w:t xml:space="preserve"> </w:t>
      </w:r>
    </w:p>
    <w:p>
      <w:pPr>
        <w:rPr>
          <w:b/>
          <w:sz w:val="24"/>
          <w:szCs w:val="24"/>
        </w:rPr>
      </w:pPr>
      <w:r>
        <w:rPr>
          <w:b/>
          <w:sz w:val="24"/>
          <w:szCs w:val="24"/>
        </w:rPr>
        <w:t>Narrative</w:t>
      </w:r>
    </w:p>
    <w:p>
      <w:pPr>
        <w:spacing w:beforeAutospacing="true" w:afterAutospacing="true"/>
        <w:rPr>
          <w:rFonts w:cs="Arial"/>
        </w:rPr>
        <w:sectPr>
          <w:pgSz w:w="12240" w:h="15840"/>
          <w:pgMar w:top="1440" w:right="1440" w:bottom="1440" w:left="1440" w:header="720" w:footer="720" w:gutter="0"/>
          <w:cols w:space="720"/>
          <w:docGrid w:linePitch="360"/>
        </w:sectPr>
      </w:pPr>
      <w:r>
        <w:rPr>
          <w:rFonts w:cs="Arial"/>
        </w:rPr>
        <w:t xml:space="preserve"> </w:t>
      </w:r>
      <w:r>
        <w:rPr>
          <w:rFonts w:cs="Arial"/>
        </w:rPr>
        <w:t xml:space="preserve">The advent of COVID 19 has increased the need for collaboration and cooperation among entities within the county and the state of Utah as CARES Act funding has become available.   Meetings have taken place to identify which services and providers will be used.   Planning to avoid duplication and streamline access for services to those affected have been helpful.  All entities will be using this experience and the information shared as part of their individual (where appropriate) development of their Consolidated Plans.</w:t>
      </w:r>
    </w:p>
    <w:p>
      <w:pPr>
        <w:spacing w:beforeAutospacing="true" w:afterAutospacing="true"/>
        <w:rPr>
          <w:rFonts w:cs="Arial"/>
        </w:rPr>
        <w:sectPr>
          <w:pgSz w:w="12240" w:h="15840"/>
          <w:pgMar w:top="1440" w:right="1440" w:bottom="1440" w:left="1440" w:header="720" w:footer="720" w:gutter="0"/>
          <w:cols w:space="720"/>
          <w:docGrid w:linePitch="360"/>
        </w:sectPr>
      </w:pPr>
    </w:p>
    <w:p>
      <w:pPr>
        <w:pStyle w:val="Heading2"/>
        <w:keepNext w:val="false"/>
        <w:pageBreakBefore/>
        <w:widowControl w:val="false"/>
        <w:rPr>
          <w:rFonts w:ascii="Calibri" w:hAnsi="Calibri"/>
          <w:i w:val="false"/>
        </w:rPr>
      </w:pPr>
      <w:r>
        <w:rPr>
          <w:rFonts w:ascii="Calibri" w:hAnsi="Calibri"/>
          <w:i w:val="false"/>
        </w:rPr>
        <w:t>PR-15 Citizen Participation - 91.105, 91.115, 91.200(c) and 91.300(c)</w:t>
      </w:r>
    </w:p>
    <w:p>
      <w:pPr>
        <w:spacing w:after="0" w:line="240" w:lineRule="auto"/>
        <w:rPr>
          <w:b/>
          <w:sz w:val="24"/>
          <w:szCs w:val="24"/>
        </w:rPr>
      </w:pPr>
      <w:r>
        <w:rPr>
          <w:b/>
          <w:sz w:val="24"/>
          <w:szCs w:val="24"/>
        </w:rPr>
        <w:t>1.</w:t>
        <w:tab/>
        <w:t>Summary of citizen participation process/Efforts made to broaden citizen participation</w:t>
      </w:r>
    </w:p>
    <w:p>
      <w:pPr>
        <w:spacing w:after="0" w:line="240" w:lineRule="auto"/>
        <w:rPr>
          <w:b/>
          <w:sz w:val="24"/>
          <w:szCs w:val="24"/>
        </w:rPr>
      </w:pPr>
      <w:r>
        <w:rPr>
          <w:b/>
          <w:sz w:val="24"/>
          <w:szCs w:val="24"/>
        </w:rPr>
        <w:t>Summarize citizen participation process and how it impacted goal-setting</w:t>
      </w:r>
    </w:p>
    <w:p>
      <w:pPr>
        <w:spacing w:after="0" w:line="240" w:lineRule="auto"/>
        <w:rPr>
          <w:b/>
          <w:sz w:val="24"/>
          <w:szCs w:val="24"/>
        </w:rPr>
      </w:pPr>
    </w:p>
    <w:p>
      <w:pPr>
        <w:spacing w:beforeAutospacing="true" w:afterAutospacing="true"/>
        <w:rPr>
          <w:rFonts w:cs="Arial"/>
        </w:rPr>
      </w:pPr>
      <w:r>
        <w:rPr>
          <w:rFonts w:cs="Arial"/>
        </w:rPr>
        <w:t xml:space="preserve">Salt Like County entered in a consultant contract with People + Place, LLC to develop a Community Engagement and Needs Assessment Plan for the Development of the five-year Consolidated plan (2020-2024).  The purpose was to identify the greatest needs in the county and to identify which of those needs could be addressed with the federal funds the County receives.  Those funds Include: Community Development Block Grant (CDBG), HOME Investment Partnership Grant, and Emergency Salutations Grant (ESG)).</w:t>
      </w:r>
    </w:p>
    <w:p>
      <w:pPr>
        <w:spacing w:beforeAutospacing="true" w:afterAutospacing="true"/>
        <w:rPr>
          <w:rFonts w:cs="Arial"/>
        </w:rPr>
      </w:pPr>
      <w:r>
        <w:rPr>
          <w:rFonts w:cs="Arial"/>
        </w:rPr>
        <w:t xml:space="preserve"> </w:t>
      </w:r>
    </w:p>
    <w:p>
      <w:pPr>
        <w:spacing w:beforeAutospacing="true" w:afterAutospacing="true"/>
        <w:rPr>
          <w:rFonts w:cs="Arial"/>
        </w:rPr>
      </w:pPr>
      <w:r>
        <w:rPr>
          <w:rFonts w:cs="Arial"/>
        </w:rPr>
        <w:t xml:space="preserve">Efforts began by conducting a literature review of 15 of the most recent reports of studies that had been conducted in Salt Lake County regarding the needs of its residents.  The top issues from the literature review were:</w:t>
      </w:r>
    </w:p>
    <w:p>
      <w:pPr>
        <w:numPr>
          <w:ilvl w:val="0"/>
          <w:numId w:val="20"/>
        </w:numPr>
        <w:spacing w:beforeAutospacing="true" w:afterAutospacing="true"/>
      </w:pPr>
      <w:r>
        <w:rPr>
          <w:rFonts w:cs="Arial"/>
        </w:rPr>
        <w:t xml:space="preserve">Health</w:t>
      </w:r>
    </w:p>
    <w:p>
      <w:pPr>
        <w:numPr>
          <w:ilvl w:val="0"/>
          <w:numId w:val="20"/>
        </w:numPr>
        <w:spacing w:beforeAutospacing="true" w:afterAutospacing="true"/>
      </w:pPr>
      <w:r>
        <w:rPr>
          <w:rFonts w:cs="Arial"/>
        </w:rPr>
        <w:t xml:space="preserve">Economy</w:t>
      </w:r>
    </w:p>
    <w:p>
      <w:pPr>
        <w:numPr>
          <w:ilvl w:val="0"/>
          <w:numId w:val="20"/>
        </w:numPr>
        <w:spacing w:beforeAutospacing="true" w:afterAutospacing="true"/>
      </w:pPr>
      <w:r>
        <w:rPr>
          <w:rFonts w:cs="Arial"/>
        </w:rPr>
        <w:t xml:space="preserve">Housing</w:t>
      </w:r>
    </w:p>
    <w:p>
      <w:pPr>
        <w:numPr>
          <w:ilvl w:val="0"/>
          <w:numId w:val="20"/>
        </w:numPr>
        <w:spacing w:beforeAutospacing="true" w:afterAutospacing="true"/>
      </w:pPr>
      <w:r>
        <w:rPr>
          <w:rFonts w:cs="Arial"/>
        </w:rPr>
        <w:t xml:space="preserve">Transportation/Access to Opportunity</w:t>
      </w:r>
    </w:p>
    <w:p>
      <w:pPr>
        <w:numPr>
          <w:ilvl w:val="0"/>
          <w:numId w:val="20"/>
        </w:numPr>
        <w:spacing w:beforeAutospacing="true" w:afterAutospacing="true"/>
      </w:pPr>
      <w:r>
        <w:rPr>
          <w:rFonts w:cs="Arial"/>
        </w:rPr>
        <w:t xml:space="preserve">Stability and Safety</w:t>
      </w:r>
    </w:p>
    <w:p>
      <w:pPr>
        <w:numPr>
          <w:ilvl w:val="0"/>
          <w:numId w:val="20"/>
        </w:numPr>
        <w:spacing w:beforeAutospacing="true" w:afterAutospacing="true"/>
      </w:pPr>
      <w:r>
        <w:rPr>
          <w:rFonts w:cs="Arial"/>
        </w:rPr>
        <w:t xml:space="preserve">Quality of Life</w:t>
      </w:r>
    </w:p>
    <w:p>
      <w:pPr>
        <w:numPr>
          <w:ilvl w:val="0"/>
          <w:numId w:val="20"/>
        </w:numPr>
        <w:spacing w:beforeAutospacing="true" w:afterAutospacing="true"/>
      </w:pPr>
      <w:r>
        <w:rPr>
          <w:rFonts w:cs="Arial"/>
        </w:rPr>
        <w:t xml:space="preserve">Education.</w:t>
      </w:r>
    </w:p>
    <w:p>
      <w:pPr>
        <w:spacing w:beforeAutospacing="true" w:afterAutospacing="true"/>
        <w:rPr>
          <w:rFonts w:cs="Arial"/>
        </w:rPr>
      </w:pPr>
      <w:r>
        <w:rPr>
          <w:rFonts w:cs="Arial"/>
        </w:rPr>
        <w:t xml:space="preserve"> </w:t>
      </w:r>
    </w:p>
    <w:p>
      <w:pPr>
        <w:spacing w:beforeAutospacing="true" w:afterAutospacing="true"/>
        <w:rPr>
          <w:rFonts w:cs="Arial"/>
        </w:rPr>
      </w:pPr>
      <w:r>
        <w:rPr>
          <w:rFonts w:cs="Arial"/>
        </w:rPr>
        <w:t xml:space="preserve">This information helped inform the development of an online community survey which was made available to County residents in both English and Spanish.  Some of the methods used to make the survey available to the public included a posting of the Salt Lake County’s home page, notices in County libraries, senior centers, health clinics, private non-profit health clinics, Utah State Department of Workforce Services Employment Centers, areas foodbanks, laundromats and housing authority properties.  Information at these locations included a poster about the survey with a link to the survey.</w:t>
      </w:r>
    </w:p>
    <w:p>
      <w:pPr>
        <w:spacing w:beforeAutospacing="true" w:afterAutospacing="true"/>
        <w:rPr>
          <w:rFonts w:cs="Arial"/>
        </w:rPr>
      </w:pPr>
      <w:r>
        <w:rPr>
          <w:rFonts w:cs="Arial"/>
        </w:rPr>
        <w:t xml:space="preserve"> </w:t>
      </w:r>
    </w:p>
    <w:p>
      <w:pPr>
        <w:spacing w:beforeAutospacing="true" w:afterAutospacing="true"/>
        <w:rPr>
          <w:rFonts w:cs="Arial"/>
        </w:rPr>
      </w:pPr>
      <w:r>
        <w:rPr>
          <w:rFonts w:cs="Arial"/>
        </w:rPr>
        <w:t xml:space="preserve">Email invitations were made to partner organizations, advocacy groups, and local governments including a poster and invitations that they could post and forward to their constituents.</w:t>
      </w:r>
    </w:p>
    <w:p>
      <w:pPr>
        <w:spacing w:beforeAutospacing="true" w:afterAutospacing="true"/>
        <w:rPr>
          <w:rFonts w:cs="Arial"/>
        </w:rPr>
      </w:pPr>
      <w:r>
        <w:rPr>
          <w:rFonts w:cs="Arial"/>
        </w:rPr>
        <w:t xml:space="preserve"> </w:t>
      </w:r>
    </w:p>
    <w:p>
      <w:pPr>
        <w:spacing w:beforeAutospacing="true" w:afterAutospacing="true"/>
        <w:rPr>
          <w:rFonts w:cs="Arial"/>
        </w:rPr>
      </w:pPr>
      <w:r>
        <w:rPr>
          <w:rFonts w:cs="Arial"/>
        </w:rPr>
        <w:t xml:space="preserve">Salt Lake County also participated in several community events such as the County’s Diversity Dinner, Farmers Market, Council of Mayors meeting and other places where different segments of the population were gathered and invited to take the public survey.</w:t>
      </w:r>
    </w:p>
    <w:p>
      <w:pPr>
        <w:spacing w:beforeAutospacing="true" w:afterAutospacing="true"/>
        <w:rPr>
          <w:rFonts w:cs="Arial"/>
        </w:rPr>
      </w:pPr>
      <w:r>
        <w:rPr>
          <w:rFonts w:cs="Arial"/>
        </w:rPr>
        <w:t xml:space="preserve"> </w:t>
      </w:r>
    </w:p>
    <w:p>
      <w:pPr>
        <w:spacing w:beforeAutospacing="true" w:afterAutospacing="true"/>
        <w:rPr>
          <w:rFonts w:cs="Arial"/>
        </w:rPr>
      </w:pPr>
      <w:r>
        <w:rPr>
          <w:rFonts w:cs="Arial"/>
        </w:rPr>
        <w:t xml:space="preserve">Although the general public was encouraged to participate, specific efforts were made to target low and moderate income persons those living in blighted areas, minorities, non-English speaking persons, persons with disabilities and residents or targeted revitalization areas.</w:t>
      </w:r>
    </w:p>
    <w:p>
      <w:pPr>
        <w:spacing w:beforeAutospacing="true" w:afterAutospacing="true"/>
        <w:rPr>
          <w:rFonts w:cs="Arial"/>
        </w:rPr>
      </w:pPr>
      <w:r>
        <w:rPr>
          <w:rFonts w:cs="Arial"/>
        </w:rPr>
        <w:t xml:space="preserve"> </w:t>
      </w:r>
    </w:p>
    <w:p>
      <w:pPr>
        <w:spacing w:beforeAutospacing="true" w:afterAutospacing="true"/>
        <w:rPr>
          <w:rFonts w:cs="Arial"/>
        </w:rPr>
      </w:pPr>
      <w:r>
        <w:rPr>
          <w:rFonts w:cs="Arial"/>
        </w:rPr>
        <w:t xml:space="preserve">The Salt Lake County Community Needs Survey was open from September 9, 2019 to October 20. 2019.  A total of 1,602 residents participated in the survey.  Overall, across the survey and the companion events, Health (Air Quality) and housing (housing affordability) rose to the op o the list most often.</w:t>
      </w:r>
    </w:p>
    <w:p>
      <w:pPr>
        <w:spacing w:beforeAutospacing="true" w:afterAutospacing="true"/>
        <w:rPr>
          <w:rFonts w:cs="Arial"/>
        </w:rPr>
      </w:pPr>
      <w:r>
        <w:rPr>
          <w:rFonts w:cs="Arial"/>
        </w:rPr>
        <w:t xml:space="preserve"> </w:t>
      </w:r>
    </w:p>
    <w:p>
      <w:pPr>
        <w:spacing w:beforeAutospacing="true" w:afterAutospacing="true"/>
        <w:rPr>
          <w:rFonts w:cs="Arial"/>
        </w:rPr>
      </w:pPr>
      <w:r>
        <w:rPr>
          <w:rFonts w:cs="Arial"/>
        </w:rPr>
        <w:t xml:space="preserve">Further analysis was done of the survey responses.  Information was broken down by different geographic areas of the county, low opportunity zones, very low, low, and moderate income, ethnic and minority, and elderly populations.  Although there were some geographic differences throughout the county, the top needs and those that could be funded with HOME, CDBG and ESG funds were:</w:t>
      </w:r>
    </w:p>
    <w:p>
      <w:pPr>
        <w:spacing w:beforeAutospacing="true" w:afterAutospacing="true"/>
        <w:rPr>
          <w:rFonts w:cs="Arial"/>
        </w:rPr>
      </w:pPr>
      <w:r>
        <w:rPr>
          <w:rFonts w:cs="Arial"/>
        </w:rPr>
        <w:t xml:space="preserve"> </w:t>
      </w:r>
    </w:p>
    <w:p>
      <w:pPr>
        <w:spacing w:beforeAutospacing="true" w:afterAutospacing="true"/>
        <w:rPr>
          <w:rFonts w:cs="Arial"/>
        </w:rPr>
      </w:pPr>
      <w:r>
        <w:rPr>
          <w:rFonts w:cs="Arial"/>
        </w:rPr>
        <w:t xml:space="preserve">Housing Services (Down Payment Assistance, home repairs and energy efficiency, rental assistance, construction and preservation of affordable housing and supportive services to help people maintain housing).</w:t>
      </w:r>
    </w:p>
    <w:p>
      <w:pPr>
        <w:spacing w:beforeAutospacing="true" w:afterAutospacing="true"/>
        <w:rPr>
          <w:rFonts w:cs="Arial"/>
        </w:rPr>
      </w:pPr>
      <w:r>
        <w:rPr>
          <w:rFonts w:cs="Arial"/>
        </w:rPr>
        <w:t xml:space="preserve">Neighborhood Improvements (sidewalks, street lighting, streets, ADA accommodations)</w:t>
      </w:r>
    </w:p>
    <w:p>
      <w:pPr>
        <w:spacing w:beforeAutospacing="true" w:afterAutospacing="true"/>
        <w:rPr>
          <w:rFonts w:cs="Arial"/>
        </w:rPr>
      </w:pPr>
      <w:r>
        <w:rPr>
          <w:rFonts w:cs="Arial"/>
        </w:rPr>
        <w:t xml:space="preserve">Public Building Improvements (parks, restrooms, improvements to access to public facilities)</w:t>
      </w:r>
    </w:p>
    <w:p>
      <w:pPr>
        <w:spacing w:beforeAutospacing="true" w:afterAutospacing="true"/>
        <w:rPr>
          <w:rFonts w:cs="Arial"/>
        </w:rPr>
      </w:pPr>
      <w:r>
        <w:rPr>
          <w:rFonts w:cs="Arial"/>
        </w:rPr>
        <w:t xml:space="preserve">Economic Independence (Education, employment training and case management services)</w:t>
      </w:r>
    </w:p>
    <w:p>
      <w:pPr>
        <w:spacing w:beforeAutospacing="true" w:afterAutospacing="true"/>
        <w:rPr>
          <w:rFonts w:cs="Arial"/>
        </w:rPr>
      </w:pPr>
      <w:r>
        <w:rPr>
          <w:rFonts w:cs="Arial"/>
        </w:rPr>
        <w:t xml:space="preserve">Access to Crisis Services (Services to individuals who are amid crisis such as homelessness and domestic abuse)</w:t>
      </w:r>
    </w:p>
    <w:p>
      <w:pPr>
        <w:spacing w:beforeAutospacing="true" w:afterAutospacing="true"/>
        <w:rPr>
          <w:rFonts w:cs="Arial"/>
        </w:rPr>
      </w:pPr>
      <w:r>
        <w:rPr>
          <w:rFonts w:cs="Arial"/>
        </w:rPr>
        <w:t xml:space="preserve"> </w:t>
      </w:r>
    </w:p>
    <w:p>
      <w:pPr>
        <w:rPr>
          <w:rFonts w:cs="Arial"/>
        </w:rPr>
      </w:pPr>
    </w:p>
    <w:p>
      <w:pPr>
        <w:keepNext/>
        <w:rPr>
          <w:b/>
          <w:sz w:val="24"/>
          <w:szCs w:val="24"/>
        </w:rPr>
      </w:pPr>
    </w:p>
    <w:p>
      <w:pPr>
        <w:keepNext/>
        <w:rPr>
          <w:b/>
          <w:sz w:val="24"/>
          <w:szCs w:val="24"/>
        </w:rPr>
      </w:pPr>
      <w:r>
        <w:rPr>
          <w:b/>
          <w:sz w:val="24"/>
          <w:szCs w:val="24"/>
        </w:rPr>
        <w:t>Citizen Participation Outreach</w:t>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15" w:type="dxa"/>
          <w:right w:w="115" w:type="dxa"/>
        </w:tblCellMar>
        <w:tblLook w:firstRow="1" w:lastRow="1" w:firstColumn="1" w:lastColumn="1" w:noHBand="0" w:noVBand="0" w:val="01E0"/>
      </w:tblPr>
      <w:tblGrid>
        <w:gridCol w:w="1231"/>
        <w:gridCol w:w="1908"/>
        <w:gridCol w:w="1956"/>
        <w:gridCol w:w="2192"/>
        <w:gridCol w:w="2020"/>
        <w:gridCol w:w="2350"/>
        <w:gridCol w:w="1533"/>
      </w:tblGrid>
      <w:tr>
        <w:trPr>
          <w:cantSplit/>
          <w:tblHeader/>
        </w:trPr>
        <w:tc>
          <w:tcPr>
            <w:tcW w:w="467" w:type="pct"/>
          </w:tcPr>
          <w:p>
            <w:pPr>
              <w:keepNext/>
              <w:spacing w:after="0" w:line="240" w:lineRule="auto"/>
              <w:jc w:val="center"/>
              <w:rPr>
                <w:b/>
                <w:bCs/>
              </w:rPr>
            </w:pPr>
            <w:r>
              <w:rPr>
                <w:b/>
                <w:bCs/>
              </w:rPr>
              <w:t>Sort Order</w:t>
            </w:r>
          </w:p>
        </w:tc>
        <w:tc>
          <w:tcPr>
            <w:tcW w:w="723" w:type="pct"/>
          </w:tcPr>
          <w:p>
            <w:pPr>
              <w:keepNext/>
              <w:spacing w:after="0" w:line="240" w:lineRule="auto"/>
              <w:jc w:val="center"/>
              <w:rPr>
                <w:b/>
              </w:rPr>
            </w:pPr>
            <w:r>
              <w:rPr>
                <w:b/>
                <w:bCs/>
              </w:rPr>
              <w:t>Mode of Outreach</w:t>
            </w:r>
          </w:p>
        </w:tc>
        <w:tc>
          <w:tcPr>
            <w:tcW w:w="741" w:type="pct"/>
          </w:tcPr>
          <w:p>
            <w:pPr>
              <w:keepNext/>
              <w:spacing w:after="0" w:line="240" w:lineRule="auto"/>
              <w:jc w:val="center"/>
              <w:rPr>
                <w:b/>
              </w:rPr>
            </w:pPr>
            <w:r>
              <w:rPr>
                <w:b/>
                <w:bCs/>
              </w:rPr>
              <w:t>Target of Outreach</w:t>
            </w:r>
          </w:p>
        </w:tc>
        <w:tc>
          <w:tcPr>
            <w:tcW w:w="831" w:type="pct"/>
          </w:tcPr>
          <w:p>
            <w:pPr>
              <w:keepNext/>
              <w:spacing w:after="0" w:line="240" w:lineRule="auto"/>
              <w:jc w:val="center"/>
              <w:rPr>
                <w:b/>
                <w:bCs/>
              </w:rPr>
            </w:pPr>
            <w:r>
              <w:rPr>
                <w:b/>
                <w:bCs/>
              </w:rPr>
              <w:t>Summary of </w:t>
            </w:r>
          </w:p>
          <w:p>
            <w:pPr>
              <w:keepNext/>
              <w:spacing w:after="0" w:line="240" w:lineRule="auto"/>
              <w:jc w:val="center"/>
              <w:rPr>
                <w:b/>
              </w:rPr>
            </w:pPr>
            <w:r>
              <w:rPr>
                <w:b/>
                <w:bCs/>
              </w:rPr>
              <w:t>response/attendance</w:t>
            </w:r>
          </w:p>
        </w:tc>
        <w:tc>
          <w:tcPr>
            <w:tcW w:w="766" w:type="pct"/>
          </w:tcPr>
          <w:p>
            <w:pPr>
              <w:keepNext/>
              <w:spacing w:after="0" w:line="240" w:lineRule="auto"/>
              <w:jc w:val="center"/>
              <w:rPr>
                <w:b/>
                <w:bCs/>
              </w:rPr>
            </w:pPr>
            <w:r>
              <w:rPr>
                <w:b/>
                <w:bCs/>
              </w:rPr>
              <w:t>Summary of </w:t>
            </w:r>
          </w:p>
          <w:p>
            <w:pPr>
              <w:keepNext/>
              <w:spacing w:after="0" w:line="240" w:lineRule="auto"/>
              <w:jc w:val="center"/>
              <w:rPr>
                <w:b/>
              </w:rPr>
            </w:pPr>
            <w:r>
              <w:rPr>
                <w:b/>
                <w:bCs/>
              </w:rPr>
              <w:t>comments received</w:t>
            </w:r>
          </w:p>
        </w:tc>
        <w:tc>
          <w:tcPr>
            <w:tcW w:w="891" w:type="pct"/>
          </w:tcPr>
          <w:p>
            <w:pPr>
              <w:keepNext/>
              <w:spacing w:after="0" w:line="240" w:lineRule="auto"/>
              <w:jc w:val="center"/>
              <w:rPr>
                <w:b/>
              </w:rPr>
            </w:pPr>
            <w:r>
              <w:rPr>
                <w:b/>
                <w:bCs/>
              </w:rPr>
              <w:t>Summary of comments not accepted and reasons</w:t>
            </w:r>
          </w:p>
        </w:tc>
        <w:tc>
          <w:tcPr>
            <w:tcW w:w="581" w:type="pct"/>
          </w:tcPr>
          <w:p>
            <w:pPr>
              <w:keepNext/>
              <w:spacing w:after="0" w:line="240" w:lineRule="auto"/>
              <w:jc w:val="center"/>
              <w:rPr>
                <w:b/>
              </w:rPr>
            </w:pPr>
            <w:r>
              <w:rPr>
                <w:b/>
                <w:bCs/>
              </w:rPr>
              <w:t>URL (If applicable)</w:t>
            </w:r>
          </w:p>
        </w:tc>
      </w:tr>
      <w:tr>
        <w:trPr>
          <w:cantSplit w:val="true"/>
        </w:trPr>
        <w:tc>
          <w:tcPr>
            <w:vAlign w:val="top"/>
          </w:tcPr>
          <w:p>
            <w:pPr>
              <w:spacing w:beforeAutospacing="true" w:afterAutospacing="true"/>
              <w:jc w:val="left"/>
            </w:pPr>
            <w:r>
              <w:rPr>
                <w:rFonts w:ascii="Calibri" w:hAnsi="Calibri"/>
                <w:color w:val="000000"/>
                <w:sz w:val="22"/>
              </w:rPr>
              <w:t xml:space="preserve">1</w:t>
            </w:r>
          </w:p>
        </w:tc>
        <w:tc>
          <w:tcPr>
            <w:vAlign w:val="top"/>
          </w:tcPr>
          <w:p>
            <w:pPr>
              <w:spacing w:beforeAutospacing="true" w:afterAutospacing="true"/>
              <w:jc w:val="left"/>
            </w:pPr>
            <w:r>
              <w:rPr>
                <w:rFonts w:ascii="Calibri" w:hAnsi="Calibri"/>
                <w:color w:val="000000"/>
                <w:sz w:val="22"/>
              </w:rPr>
              <w:t xml:space="preserve">Public Hearing</w:t>
            </w:r>
          </w:p>
        </w:tc>
        <w:tc>
          <w:tcPr>
            <w:vAlign w:val="top"/>
          </w:tcPr>
          <w:p>
            <w:pPr>
              <w:spacing w:beforeAutospacing="true" w:afterAutospacing="true"/>
              <w:jc w:val="left"/>
            </w:pPr>
            <w:r>
              <w:rPr>
                <w:rFonts w:ascii="Calibri" w:hAnsi="Calibri"/>
                <w:color w:val="000000"/>
                <w:sz w:val="22"/>
              </w:rPr>
              <w:t xml:space="preserve">Minorities</w:t>
            </w:r>
            <w:r>
              <w:rPr>
                <w:rFonts w:ascii="Calibri" w:hAnsi="Calibri"/>
                <w:color w:val="000000"/>
                <w:sz w:val="22"/>
              </w:rPr>
              <w:br/>
              <w:t xml:space="preserve"/>
            </w:r>
            <w:r>
              <w:rPr>
                <w:rFonts w:ascii="Calibri" w:hAnsi="Calibri"/>
                <w:color w:val="000000"/>
                <w:sz w:val="22"/>
              </w:rPr>
              <w:t xml:space="preserve"> </w:t>
            </w:r>
            <w:r>
              <w:rPr>
                <w:rFonts w:ascii="Calibri" w:hAnsi="Calibri"/>
                <w:color w:val="000000"/>
                <w:sz w:val="22"/>
              </w:rPr>
              <w:br/>
              <w:t xml:space="preserve"/>
            </w:r>
            <w:r>
              <w:rPr>
                <w:rFonts w:ascii="Calibri" w:hAnsi="Calibri"/>
                <w:color w:val="000000"/>
                <w:sz w:val="22"/>
              </w:rPr>
              <w:t xml:space="preserve">Non-English Speaking - Specify other language: Spanish</w:t>
            </w:r>
            <w:r>
              <w:rPr>
                <w:rFonts w:ascii="Calibri" w:hAnsi="Calibri"/>
                <w:color w:val="000000"/>
                <w:sz w:val="22"/>
              </w:rPr>
              <w:br/>
              <w:t xml:space="preserve"/>
            </w:r>
            <w:r>
              <w:rPr>
                <w:rFonts w:ascii="Calibri" w:hAnsi="Calibri"/>
                <w:color w:val="000000"/>
                <w:sz w:val="22"/>
              </w:rPr>
              <w:t xml:space="preserve"> </w:t>
            </w:r>
            <w:r>
              <w:rPr>
                <w:rFonts w:ascii="Calibri" w:hAnsi="Calibri"/>
                <w:color w:val="000000"/>
                <w:sz w:val="22"/>
              </w:rPr>
              <w:br/>
              <w:t xml:space="preserve"/>
            </w:r>
            <w:r>
              <w:rPr>
                <w:rFonts w:ascii="Calibri" w:hAnsi="Calibri"/>
                <w:color w:val="000000"/>
                <w:sz w:val="22"/>
              </w:rPr>
              <w:t xml:space="preserve">Persons with disabilities</w:t>
            </w:r>
            <w:r>
              <w:rPr>
                <w:rFonts w:ascii="Calibri" w:hAnsi="Calibri"/>
                <w:color w:val="000000"/>
                <w:sz w:val="22"/>
              </w:rPr>
              <w:br/>
              <w:t xml:space="preserve"/>
            </w:r>
            <w:r>
              <w:rPr>
                <w:rFonts w:ascii="Calibri" w:hAnsi="Calibri"/>
                <w:color w:val="000000"/>
                <w:sz w:val="22"/>
              </w:rPr>
              <w:t xml:space="preserve"> </w:t>
            </w:r>
            <w:r>
              <w:rPr>
                <w:rFonts w:ascii="Calibri" w:hAnsi="Calibri"/>
                <w:color w:val="000000"/>
                <w:sz w:val="22"/>
              </w:rPr>
              <w:br/>
              <w:t xml:space="preserve"/>
            </w:r>
            <w:r>
              <w:rPr>
                <w:rFonts w:ascii="Calibri" w:hAnsi="Calibri"/>
                <w:color w:val="000000"/>
                <w:sz w:val="22"/>
              </w:rPr>
              <w:t xml:space="preserve">Non-targeted/broad community</w:t>
            </w:r>
            <w:r>
              <w:rPr>
                <w:rFonts w:ascii="Calibri" w:hAnsi="Calibri"/>
                <w:color w:val="000000"/>
                <w:sz w:val="22"/>
              </w:rPr>
              <w:br/>
              <w:t xml:space="preserve"/>
            </w:r>
            <w:r>
              <w:rPr>
                <w:rFonts w:ascii="Calibri" w:hAnsi="Calibri"/>
                <w:color w:val="000000"/>
                <w:sz w:val="22"/>
              </w:rPr>
              <w:t xml:space="preserve"> </w:t>
            </w:r>
            <w:r>
              <w:rPr>
                <w:rFonts w:ascii="Calibri" w:hAnsi="Calibri"/>
                <w:color w:val="000000"/>
                <w:sz w:val="22"/>
              </w:rPr>
              <w:br/>
              <w:t xml:space="preserve"/>
            </w:r>
            <w:r>
              <w:rPr>
                <w:rFonts w:ascii="Calibri" w:hAnsi="Calibri"/>
                <w:color w:val="000000"/>
                <w:sz w:val="22"/>
              </w:rPr>
              <w:t xml:space="preserve">Residents of Public and Assisted Housing</w:t>
            </w:r>
            <w:r>
              <w:rPr>
                <w:rFonts w:ascii="Calibri" w:hAnsi="Calibri"/>
                <w:color w:val="000000"/>
                <w:sz w:val="22"/>
              </w:rPr>
              <w:br/>
              <w:t xml:space="preserve"/>
            </w:r>
            <w:r>
              <w:rPr>
                <w:rFonts w:ascii="Calibri" w:hAnsi="Calibri"/>
                <w:color w:val="000000"/>
                <w:sz w:val="22"/>
              </w:rPr>
              <w:t xml:space="preserve"> </w:t>
            </w:r>
            <w:r>
              <w:rPr>
                <w:rFonts w:ascii="Calibri" w:hAnsi="Calibri"/>
                <w:color w:val="000000"/>
                <w:sz w:val="22"/>
              </w:rPr>
              <w:br/>
              <w:t xml:space="preserve"/>
            </w:r>
            <w:r>
              <w:rPr>
                <w:rFonts w:ascii="Calibri" w:hAnsi="Calibri"/>
                <w:color w:val="000000"/>
                <w:sz w:val="22"/>
              </w:rPr>
              <w:t xml:space="preserve">languages</w:t>
            </w:r>
          </w:p>
        </w:tc>
        <w:tc>
          <w:tcPr>
            <w:vAlign w:val="top"/>
          </w:tcPr>
          <w:p>
            <w:pPr>
              <w:spacing w:beforeAutospacing="true" w:afterAutospacing="true"/>
              <w:jc w:val="left"/>
            </w:pPr>
            <w:r>
              <w:rPr>
                <w:rFonts w:ascii="Calibri" w:hAnsi="Calibri"/>
                <w:color w:val="000000"/>
                <w:sz w:val="22"/>
              </w:rPr>
              <w:t xml:space="preserve">A virtual public hearing was held on April 17th, 2020, on the proposed and recommendations by the Citizen Review Committees for the allocation of HOME, CDBG, and ESG funds. It was attended by Salt Lake County Mayor and the Mayors from Murray, South Salt Lake, Herriman, Midvale, Riverton and Holladay as well as members of the Citizen Review Committees.  Representatives from 39 Agencies spoke at the Public Hearing. A legal notice was published see Attachment 2</w:t>
            </w:r>
          </w:p>
        </w:tc>
        <w:tc>
          <w:tcPr>
            <w:vAlign w:val="top"/>
          </w:tcPr>
          <w:p>
            <w:pPr>
              <w:spacing w:beforeAutospacing="true" w:afterAutospacing="true"/>
              <w:jc w:val="left"/>
            </w:pPr>
            <w:r>
              <w:rPr>
                <w:rFonts w:ascii="Calibri" w:hAnsi="Calibri"/>
                <w:color w:val="000000"/>
                <w:sz w:val="22"/>
              </w:rPr>
              <w:t xml:space="preserve">See Attachment 1: Input received</w:t>
            </w:r>
          </w:p>
        </w:tc>
        <w:tc>
          <w:tcPr>
            <w:vAlign w:val="top"/>
          </w:tcPr>
          <w:p>
            <w:pPr>
              <w:spacing w:beforeAutospacing="true" w:afterAutospacing="true"/>
              <w:jc w:val="left"/>
            </w:pPr>
            <w:r>
              <w:rPr>
                <w:rFonts w:ascii="Calibri" w:hAnsi="Calibri"/>
                <w:color w:val="000000"/>
                <w:sz w:val="22"/>
              </w:rPr>
              <w:t xml:space="preserve"> </w:t>
            </w:r>
          </w:p>
        </w:tc>
        <w:tc>
          <w:tcPr>
            <w:vAlign w:val="top"/>
          </w:tcPr>
          <w:p>
            <w:pPr>
              <w:spacing w:beforeAutospacing="true" w:afterAutospacing="true"/>
              <w:jc w:val="left"/>
            </w:pPr>
            <w:r>
              <w:rPr>
                <w:rFonts w:ascii="Calibri" w:hAnsi="Calibri"/>
                <w:color w:val="000000"/>
                <w:sz w:val="22"/>
              </w:rPr>
              <w:t xml:space="preserve"> </w:t>
            </w:r>
          </w:p>
        </w:tc>
      </w:tr>
      <w:tr>
        <w:trPr>
          <w:cantSplit w:val="true"/>
        </w:trPr>
        <w:tc>
          <w:tcPr>
            <w:vAlign w:val="top"/>
          </w:tcPr>
          <w:p>
            <w:pPr>
              <w:spacing w:beforeAutospacing="true" w:afterAutospacing="true"/>
              <w:jc w:val="left"/>
            </w:pPr>
            <w:r>
              <w:rPr>
                <w:rFonts w:ascii="Calibri" w:hAnsi="Calibri"/>
                <w:color w:val="000000"/>
                <w:sz w:val="22"/>
              </w:rPr>
              <w:t xml:space="preserve">2</w:t>
            </w:r>
          </w:p>
        </w:tc>
        <w:tc>
          <w:tcPr>
            <w:vAlign w:val="top"/>
          </w:tcPr>
          <w:p>
            <w:pPr>
              <w:spacing w:beforeAutospacing="true" w:afterAutospacing="true"/>
              <w:jc w:val="left"/>
            </w:pPr>
            <w:r>
              <w:rPr>
                <w:rFonts w:ascii="Calibri" w:hAnsi="Calibri"/>
                <w:color w:val="000000"/>
                <w:sz w:val="22"/>
              </w:rPr>
              <w:t xml:space="preserve">Public Meeting</w:t>
            </w:r>
          </w:p>
        </w:tc>
        <w:tc>
          <w:tcPr>
            <w:vAlign w:val="top"/>
          </w:tcPr>
          <w:p>
            <w:pPr>
              <w:spacing w:beforeAutospacing="true" w:afterAutospacing="true"/>
              <w:jc w:val="left"/>
            </w:pPr>
            <w:r>
              <w:rPr>
                <w:rFonts w:ascii="Calibri" w:hAnsi="Calibri"/>
                <w:color w:val="000000"/>
                <w:sz w:val="22"/>
              </w:rPr>
              <w:t xml:space="preserve">Minorities</w:t>
            </w:r>
            <w:r>
              <w:rPr>
                <w:rFonts w:ascii="Calibri" w:hAnsi="Calibri"/>
                <w:color w:val="000000"/>
                <w:sz w:val="22"/>
              </w:rPr>
              <w:br/>
              <w:t xml:space="preserve"/>
            </w:r>
            <w:r>
              <w:rPr>
                <w:rFonts w:ascii="Calibri" w:hAnsi="Calibri"/>
                <w:color w:val="000000"/>
                <w:sz w:val="22"/>
              </w:rPr>
              <w:t xml:space="preserve"> </w:t>
            </w:r>
            <w:r>
              <w:rPr>
                <w:rFonts w:ascii="Calibri" w:hAnsi="Calibri"/>
                <w:color w:val="000000"/>
                <w:sz w:val="22"/>
              </w:rPr>
              <w:br/>
              <w:t xml:space="preserve"/>
            </w:r>
            <w:r>
              <w:rPr>
                <w:rFonts w:ascii="Calibri" w:hAnsi="Calibri"/>
                <w:color w:val="000000"/>
                <w:sz w:val="22"/>
              </w:rPr>
              <w:t xml:space="preserve">Non-English Speaking - Specify other language: Spanish</w:t>
            </w:r>
            <w:r>
              <w:rPr>
                <w:rFonts w:ascii="Calibri" w:hAnsi="Calibri"/>
                <w:color w:val="000000"/>
                <w:sz w:val="22"/>
              </w:rPr>
              <w:br/>
              <w:t xml:space="preserve"/>
            </w:r>
            <w:r>
              <w:rPr>
                <w:rFonts w:ascii="Calibri" w:hAnsi="Calibri"/>
                <w:color w:val="000000"/>
                <w:sz w:val="22"/>
              </w:rPr>
              <w:t xml:space="preserve"> </w:t>
            </w:r>
            <w:r>
              <w:rPr>
                <w:rFonts w:ascii="Calibri" w:hAnsi="Calibri"/>
                <w:color w:val="000000"/>
                <w:sz w:val="22"/>
              </w:rPr>
              <w:br/>
              <w:t xml:space="preserve"/>
            </w:r>
            <w:r>
              <w:rPr>
                <w:rFonts w:ascii="Calibri" w:hAnsi="Calibri"/>
                <w:color w:val="000000"/>
                <w:sz w:val="22"/>
              </w:rPr>
              <w:t xml:space="preserve">Persons with disabilities</w:t>
            </w:r>
            <w:r>
              <w:rPr>
                <w:rFonts w:ascii="Calibri" w:hAnsi="Calibri"/>
                <w:color w:val="000000"/>
                <w:sz w:val="22"/>
              </w:rPr>
              <w:br/>
              <w:t xml:space="preserve"/>
            </w:r>
            <w:r>
              <w:rPr>
                <w:rFonts w:ascii="Calibri" w:hAnsi="Calibri"/>
                <w:color w:val="000000"/>
                <w:sz w:val="22"/>
              </w:rPr>
              <w:t xml:space="preserve"> </w:t>
            </w:r>
            <w:r>
              <w:rPr>
                <w:rFonts w:ascii="Calibri" w:hAnsi="Calibri"/>
                <w:color w:val="000000"/>
                <w:sz w:val="22"/>
              </w:rPr>
              <w:br/>
              <w:t xml:space="preserve"/>
            </w:r>
            <w:r>
              <w:rPr>
                <w:rFonts w:ascii="Calibri" w:hAnsi="Calibri"/>
                <w:color w:val="000000"/>
                <w:sz w:val="22"/>
              </w:rPr>
              <w:t xml:space="preserve">Non-targeted/broad community</w:t>
            </w:r>
            <w:r>
              <w:rPr>
                <w:rFonts w:ascii="Calibri" w:hAnsi="Calibri"/>
                <w:color w:val="000000"/>
                <w:sz w:val="22"/>
              </w:rPr>
              <w:br/>
              <w:t xml:space="preserve"/>
            </w:r>
            <w:r>
              <w:rPr>
                <w:rFonts w:ascii="Calibri" w:hAnsi="Calibri"/>
                <w:color w:val="000000"/>
                <w:sz w:val="22"/>
              </w:rPr>
              <w:t xml:space="preserve"> </w:t>
            </w:r>
            <w:r>
              <w:rPr>
                <w:rFonts w:ascii="Calibri" w:hAnsi="Calibri"/>
                <w:color w:val="000000"/>
                <w:sz w:val="22"/>
              </w:rPr>
              <w:br/>
              <w:t xml:space="preserve"/>
            </w:r>
            <w:r>
              <w:rPr>
                <w:rFonts w:ascii="Calibri" w:hAnsi="Calibri"/>
                <w:color w:val="000000"/>
                <w:sz w:val="22"/>
              </w:rPr>
              <w:t xml:space="preserve">Residents of Public and Assisted Housing</w:t>
            </w:r>
            <w:r>
              <w:rPr>
                <w:rFonts w:ascii="Calibri" w:hAnsi="Calibri"/>
                <w:color w:val="000000"/>
                <w:sz w:val="22"/>
              </w:rPr>
              <w:br/>
              <w:t xml:space="preserve"/>
            </w:r>
            <w:r>
              <w:rPr>
                <w:rFonts w:ascii="Calibri" w:hAnsi="Calibri"/>
                <w:color w:val="000000"/>
                <w:sz w:val="22"/>
              </w:rPr>
              <w:t xml:space="preserve"> </w:t>
            </w:r>
            <w:r>
              <w:rPr>
                <w:rFonts w:ascii="Calibri" w:hAnsi="Calibri"/>
                <w:color w:val="000000"/>
                <w:sz w:val="22"/>
              </w:rPr>
              <w:br/>
              <w:t xml:space="preserve"/>
            </w:r>
            <w:r>
              <w:rPr>
                <w:rFonts w:ascii="Calibri" w:hAnsi="Calibri"/>
                <w:color w:val="000000"/>
                <w:sz w:val="22"/>
              </w:rPr>
              <w:t xml:space="preserve">languages</w:t>
            </w:r>
          </w:p>
        </w:tc>
        <w:tc>
          <w:tcPr>
            <w:vAlign w:val="top"/>
          </w:tcPr>
          <w:p>
            <w:pPr>
              <w:spacing w:beforeAutospacing="true" w:afterAutospacing="true"/>
              <w:jc w:val="left"/>
            </w:pPr>
            <w:r>
              <w:rPr>
                <w:rFonts w:ascii="Calibri" w:hAnsi="Calibri"/>
                <w:color w:val="000000"/>
                <w:sz w:val="22"/>
              </w:rPr>
              <w:t xml:space="preserve">5 agencies attended and were asked for input on housing needs in the community</w:t>
            </w:r>
          </w:p>
        </w:tc>
        <w:tc>
          <w:tcPr>
            <w:vAlign w:val="top"/>
          </w:tcPr>
          <w:p>
            <w:pPr>
              <w:spacing w:beforeAutospacing="true" w:afterAutospacing="true"/>
              <w:jc w:val="left"/>
            </w:pPr>
            <w:r>
              <w:rPr>
                <w:rFonts w:ascii="Calibri" w:hAnsi="Calibri"/>
                <w:color w:val="000000"/>
                <w:sz w:val="22"/>
              </w:rPr>
              <w:t xml:space="preserve">No comments were received</w:t>
            </w:r>
          </w:p>
        </w:tc>
        <w:tc>
          <w:tcPr>
            <w:vAlign w:val="top"/>
          </w:tcPr>
          <w:p>
            <w:pPr>
              <w:spacing w:beforeAutospacing="true" w:afterAutospacing="true"/>
              <w:jc w:val="left"/>
            </w:pPr>
            <w:r>
              <w:rPr>
                <w:rFonts w:ascii="Calibri" w:hAnsi="Calibri"/>
                <w:color w:val="000000"/>
                <w:sz w:val="22"/>
              </w:rPr>
              <w:t xml:space="preserve"> </w:t>
            </w:r>
          </w:p>
        </w:tc>
        <w:tc>
          <w:tcPr>
            <w:vAlign w:val="top"/>
          </w:tcPr>
          <w:p>
            <w:pPr>
              <w:spacing w:beforeAutospacing="true" w:afterAutospacing="true"/>
              <w:jc w:val="left"/>
            </w:pPr>
            <w:r>
              <w:rPr>
                <w:rFonts w:ascii="Calibri" w:hAnsi="Calibri"/>
                <w:color w:val="000000"/>
                <w:sz w:val="22"/>
              </w:rPr>
              <w:t xml:space="preserve"> </w:t>
            </w:r>
          </w:p>
        </w:tc>
      </w:tr>
      <w:tr>
        <w:trPr>
          <w:cantSplit w:val="true"/>
        </w:trPr>
        <w:tc>
          <w:tcPr>
            <w:vAlign w:val="top"/>
          </w:tcPr>
          <w:p>
            <w:pPr>
              <w:spacing w:beforeAutospacing="true" w:afterAutospacing="true"/>
              <w:jc w:val="left"/>
            </w:pPr>
            <w:r>
              <w:rPr>
                <w:rFonts w:ascii="Calibri" w:hAnsi="Calibri"/>
                <w:color w:val="000000"/>
                <w:sz w:val="22"/>
              </w:rPr>
              <w:t xml:space="preserve">3</w:t>
            </w:r>
          </w:p>
        </w:tc>
        <w:tc>
          <w:tcPr>
            <w:vAlign w:val="top"/>
          </w:tcPr>
          <w:p>
            <w:pPr>
              <w:spacing w:beforeAutospacing="true" w:afterAutospacing="true"/>
              <w:jc w:val="left"/>
            </w:pPr>
            <w:r>
              <w:rPr>
                <w:rFonts w:ascii="Calibri" w:hAnsi="Calibri"/>
                <w:color w:val="000000"/>
                <w:sz w:val="22"/>
              </w:rPr>
              <w:t xml:space="preserve">Public Meeting</w:t>
            </w:r>
          </w:p>
        </w:tc>
        <w:tc>
          <w:tcPr>
            <w:vAlign w:val="top"/>
          </w:tcPr>
          <w:p>
            <w:pPr>
              <w:spacing w:beforeAutospacing="true" w:afterAutospacing="true"/>
              <w:jc w:val="left"/>
            </w:pPr>
            <w:r>
              <w:rPr>
                <w:rFonts w:ascii="Calibri" w:hAnsi="Calibri"/>
                <w:color w:val="000000"/>
                <w:sz w:val="22"/>
              </w:rPr>
              <w:t xml:space="preserve">Minorities</w:t>
            </w:r>
            <w:r>
              <w:rPr>
                <w:rFonts w:ascii="Calibri" w:hAnsi="Calibri"/>
                <w:color w:val="000000"/>
                <w:sz w:val="22"/>
              </w:rPr>
              <w:br/>
              <w:t xml:space="preserve"/>
            </w:r>
            <w:r>
              <w:rPr>
                <w:rFonts w:ascii="Calibri" w:hAnsi="Calibri"/>
                <w:color w:val="000000"/>
                <w:sz w:val="22"/>
              </w:rPr>
              <w:t xml:space="preserve"> </w:t>
            </w:r>
            <w:r>
              <w:rPr>
                <w:rFonts w:ascii="Calibri" w:hAnsi="Calibri"/>
                <w:color w:val="000000"/>
                <w:sz w:val="22"/>
              </w:rPr>
              <w:br/>
              <w:t xml:space="preserve"/>
            </w:r>
            <w:r>
              <w:rPr>
                <w:rFonts w:ascii="Calibri" w:hAnsi="Calibri"/>
                <w:color w:val="000000"/>
                <w:sz w:val="22"/>
              </w:rPr>
              <w:t xml:space="preserve">Non-English Speaking - Specify other language: spanish</w:t>
            </w:r>
            <w:r>
              <w:rPr>
                <w:rFonts w:ascii="Calibri" w:hAnsi="Calibri"/>
                <w:color w:val="000000"/>
                <w:sz w:val="22"/>
              </w:rPr>
              <w:br/>
              <w:t xml:space="preserve"/>
            </w:r>
            <w:r>
              <w:rPr>
                <w:rFonts w:ascii="Calibri" w:hAnsi="Calibri"/>
                <w:color w:val="000000"/>
                <w:sz w:val="22"/>
              </w:rPr>
              <w:t xml:space="preserve"> </w:t>
            </w:r>
            <w:r>
              <w:rPr>
                <w:rFonts w:ascii="Calibri" w:hAnsi="Calibri"/>
                <w:color w:val="000000"/>
                <w:sz w:val="22"/>
              </w:rPr>
              <w:br/>
              <w:t xml:space="preserve"/>
            </w:r>
            <w:r>
              <w:rPr>
                <w:rFonts w:ascii="Calibri" w:hAnsi="Calibri"/>
                <w:color w:val="000000"/>
                <w:sz w:val="22"/>
              </w:rPr>
              <w:t xml:space="preserve">Persons with disabilities</w:t>
            </w:r>
            <w:r>
              <w:rPr>
                <w:rFonts w:ascii="Calibri" w:hAnsi="Calibri"/>
                <w:color w:val="000000"/>
                <w:sz w:val="22"/>
              </w:rPr>
              <w:br/>
              <w:t xml:space="preserve"/>
            </w:r>
            <w:r>
              <w:rPr>
                <w:rFonts w:ascii="Calibri" w:hAnsi="Calibri"/>
                <w:color w:val="000000"/>
                <w:sz w:val="22"/>
              </w:rPr>
              <w:t xml:space="preserve"> </w:t>
            </w:r>
            <w:r>
              <w:rPr>
                <w:rFonts w:ascii="Calibri" w:hAnsi="Calibri"/>
                <w:color w:val="000000"/>
                <w:sz w:val="22"/>
              </w:rPr>
              <w:br/>
              <w:t xml:space="preserve"/>
            </w:r>
            <w:r>
              <w:rPr>
                <w:rFonts w:ascii="Calibri" w:hAnsi="Calibri"/>
                <w:color w:val="000000"/>
                <w:sz w:val="22"/>
              </w:rPr>
              <w:t xml:space="preserve">Non-targeted/broad community</w:t>
            </w:r>
            <w:r>
              <w:rPr>
                <w:rFonts w:ascii="Calibri" w:hAnsi="Calibri"/>
                <w:color w:val="000000"/>
                <w:sz w:val="22"/>
              </w:rPr>
              <w:br/>
              <w:t xml:space="preserve"/>
            </w:r>
            <w:r>
              <w:rPr>
                <w:rFonts w:ascii="Calibri" w:hAnsi="Calibri"/>
                <w:color w:val="000000"/>
                <w:sz w:val="22"/>
              </w:rPr>
              <w:t xml:space="preserve"> </w:t>
            </w:r>
            <w:r>
              <w:rPr>
                <w:rFonts w:ascii="Calibri" w:hAnsi="Calibri"/>
                <w:color w:val="000000"/>
                <w:sz w:val="22"/>
              </w:rPr>
              <w:br/>
              <w:t xml:space="preserve"/>
            </w:r>
            <w:r>
              <w:rPr>
                <w:rFonts w:ascii="Calibri" w:hAnsi="Calibri"/>
                <w:color w:val="000000"/>
                <w:sz w:val="22"/>
              </w:rPr>
              <w:t xml:space="preserve">languages</w:t>
            </w:r>
          </w:p>
        </w:tc>
        <w:tc>
          <w:tcPr>
            <w:vAlign w:val="top"/>
          </w:tcPr>
          <w:p>
            <w:pPr>
              <w:spacing w:beforeAutospacing="true" w:afterAutospacing="true"/>
              <w:jc w:val="left"/>
            </w:pPr>
            <w:r>
              <w:rPr>
                <w:rFonts w:ascii="Calibri" w:hAnsi="Calibri"/>
                <w:color w:val="000000"/>
                <w:sz w:val="22"/>
              </w:rPr>
              <w:t xml:space="preserve">a public meeting was held on December 12, 2019</w:t>
            </w:r>
          </w:p>
        </w:tc>
        <w:tc>
          <w:tcPr>
            <w:vAlign w:val="top"/>
          </w:tcPr>
          <w:p>
            <w:pPr>
              <w:spacing w:beforeAutospacing="true" w:afterAutospacing="true"/>
              <w:jc w:val="left"/>
            </w:pPr>
            <w:r>
              <w:rPr>
                <w:rFonts w:ascii="Calibri" w:hAnsi="Calibri"/>
                <w:color w:val="000000"/>
                <w:sz w:val="22"/>
              </w:rPr>
              <w:t xml:space="preserve">See attachment 1</w:t>
            </w:r>
          </w:p>
        </w:tc>
        <w:tc>
          <w:tcPr>
            <w:vAlign w:val="top"/>
          </w:tcPr>
          <w:p>
            <w:pPr>
              <w:spacing w:beforeAutospacing="true" w:afterAutospacing="true"/>
              <w:jc w:val="left"/>
            </w:pPr>
            <w:r>
              <w:rPr>
                <w:rFonts w:ascii="Calibri" w:hAnsi="Calibri"/>
                <w:color w:val="000000"/>
                <w:sz w:val="22"/>
              </w:rPr>
              <w:t xml:space="preserve">all comments were accepted</w:t>
            </w:r>
          </w:p>
        </w:tc>
        <w:tc>
          <w:tcPr>
            <w:vAlign w:val="top"/>
          </w:tcPr>
          <w:p>
            <w:pPr>
              <w:spacing w:beforeAutospacing="true" w:afterAutospacing="true"/>
              <w:jc w:val="left"/>
            </w:pPr>
            <w:r>
              <w:rPr>
                <w:rFonts w:ascii="Calibri" w:hAnsi="Calibri"/>
                <w:color w:val="000000"/>
                <w:sz w:val="22"/>
              </w:rPr>
              <w:t xml:space="preserve"> </w:t>
            </w:r>
          </w:p>
        </w:tc>
      </w:tr>
      <w:tr>
        <w:trPr>
          <w:cantSplit w:val="true"/>
        </w:trPr>
        <w:tc>
          <w:tcPr>
            <w:vAlign w:val="top"/>
          </w:tcPr>
          <w:p>
            <w:pPr>
              <w:spacing w:beforeAutospacing="true" w:afterAutospacing="true"/>
              <w:jc w:val="left"/>
            </w:pPr>
            <w:r>
              <w:rPr>
                <w:rFonts w:ascii="Calibri" w:hAnsi="Calibri"/>
                <w:color w:val="000000"/>
                <w:sz w:val="22"/>
              </w:rPr>
              <w:t xml:space="preserve">4</w:t>
            </w:r>
          </w:p>
        </w:tc>
        <w:tc>
          <w:tcPr>
            <w:vAlign w:val="top"/>
          </w:tcPr>
          <w:p>
            <w:pPr>
              <w:spacing w:beforeAutospacing="true" w:afterAutospacing="true"/>
              <w:jc w:val="left"/>
            </w:pPr>
            <w:r>
              <w:rPr>
                <w:rFonts w:ascii="Calibri" w:hAnsi="Calibri"/>
                <w:color w:val="000000"/>
                <w:sz w:val="22"/>
              </w:rPr>
              <w:t xml:space="preserve">Newspaper Ad</w:t>
            </w:r>
          </w:p>
        </w:tc>
        <w:tc>
          <w:tcPr>
            <w:vAlign w:val="top"/>
          </w:tcPr>
          <w:p>
            <w:pPr>
              <w:spacing w:beforeAutospacing="true" w:afterAutospacing="true"/>
              <w:jc w:val="left"/>
            </w:pPr>
            <w:r>
              <w:rPr>
                <w:rFonts w:ascii="Calibri" w:hAnsi="Calibri"/>
                <w:color w:val="000000"/>
                <w:sz w:val="22"/>
              </w:rPr>
              <w:t xml:space="preserve">Minorities</w:t>
            </w:r>
            <w:r>
              <w:rPr>
                <w:rFonts w:ascii="Calibri" w:hAnsi="Calibri"/>
                <w:color w:val="000000"/>
                <w:sz w:val="22"/>
              </w:rPr>
              <w:br/>
              <w:t xml:space="preserve"/>
            </w:r>
            <w:r>
              <w:rPr>
                <w:rFonts w:ascii="Calibri" w:hAnsi="Calibri"/>
                <w:color w:val="000000"/>
                <w:sz w:val="22"/>
              </w:rPr>
              <w:t xml:space="preserve"> </w:t>
            </w:r>
            <w:r>
              <w:rPr>
                <w:rFonts w:ascii="Calibri" w:hAnsi="Calibri"/>
                <w:color w:val="000000"/>
                <w:sz w:val="22"/>
              </w:rPr>
              <w:br/>
              <w:t xml:space="preserve"/>
            </w:r>
            <w:r>
              <w:rPr>
                <w:rFonts w:ascii="Calibri" w:hAnsi="Calibri"/>
                <w:color w:val="000000"/>
                <w:sz w:val="22"/>
              </w:rPr>
              <w:t xml:space="preserve">Non-English Speaking - Specify other language: spanish</w:t>
            </w:r>
            <w:r>
              <w:rPr>
                <w:rFonts w:ascii="Calibri" w:hAnsi="Calibri"/>
                <w:color w:val="000000"/>
                <w:sz w:val="22"/>
              </w:rPr>
              <w:br/>
              <w:t xml:space="preserve"/>
            </w:r>
            <w:r>
              <w:rPr>
                <w:rFonts w:ascii="Calibri" w:hAnsi="Calibri"/>
                <w:color w:val="000000"/>
                <w:sz w:val="22"/>
              </w:rPr>
              <w:t xml:space="preserve"> </w:t>
            </w:r>
            <w:r>
              <w:rPr>
                <w:rFonts w:ascii="Calibri" w:hAnsi="Calibri"/>
                <w:color w:val="000000"/>
                <w:sz w:val="22"/>
              </w:rPr>
              <w:br/>
              <w:t xml:space="preserve"/>
            </w:r>
            <w:r>
              <w:rPr>
                <w:rFonts w:ascii="Calibri" w:hAnsi="Calibri"/>
                <w:color w:val="000000"/>
                <w:sz w:val="22"/>
              </w:rPr>
              <w:t xml:space="preserve">Persons with disabilities</w:t>
            </w:r>
            <w:r>
              <w:rPr>
                <w:rFonts w:ascii="Calibri" w:hAnsi="Calibri"/>
                <w:color w:val="000000"/>
                <w:sz w:val="22"/>
              </w:rPr>
              <w:br/>
              <w:t xml:space="preserve"/>
            </w:r>
            <w:r>
              <w:rPr>
                <w:rFonts w:ascii="Calibri" w:hAnsi="Calibri"/>
                <w:color w:val="000000"/>
                <w:sz w:val="22"/>
              </w:rPr>
              <w:t xml:space="preserve"> </w:t>
            </w:r>
            <w:r>
              <w:rPr>
                <w:rFonts w:ascii="Calibri" w:hAnsi="Calibri"/>
                <w:color w:val="000000"/>
                <w:sz w:val="22"/>
              </w:rPr>
              <w:br/>
              <w:t xml:space="preserve"/>
            </w:r>
            <w:r>
              <w:rPr>
                <w:rFonts w:ascii="Calibri" w:hAnsi="Calibri"/>
                <w:color w:val="000000"/>
                <w:sz w:val="22"/>
              </w:rPr>
              <w:t xml:space="preserve">Non-targeted/broad community</w:t>
            </w:r>
            <w:r>
              <w:rPr>
                <w:rFonts w:ascii="Calibri" w:hAnsi="Calibri"/>
                <w:color w:val="000000"/>
                <w:sz w:val="22"/>
              </w:rPr>
              <w:br/>
              <w:t xml:space="preserve"/>
            </w:r>
            <w:r>
              <w:rPr>
                <w:rFonts w:ascii="Calibri" w:hAnsi="Calibri"/>
                <w:color w:val="000000"/>
                <w:sz w:val="22"/>
              </w:rPr>
              <w:t xml:space="preserve"> </w:t>
            </w:r>
            <w:r>
              <w:rPr>
                <w:rFonts w:ascii="Calibri" w:hAnsi="Calibri"/>
                <w:color w:val="000000"/>
                <w:sz w:val="22"/>
              </w:rPr>
              <w:br/>
              <w:t xml:space="preserve"/>
            </w:r>
            <w:r>
              <w:rPr>
                <w:rFonts w:ascii="Calibri" w:hAnsi="Calibri"/>
                <w:color w:val="000000"/>
                <w:sz w:val="22"/>
              </w:rPr>
              <w:t xml:space="preserve">Residents of Public and Assisted Housing</w:t>
            </w:r>
          </w:p>
        </w:tc>
        <w:tc>
          <w:tcPr>
            <w:vAlign w:val="top"/>
          </w:tcPr>
          <w:p>
            <w:pPr>
              <w:spacing w:beforeAutospacing="true" w:afterAutospacing="true"/>
              <w:jc w:val="left"/>
            </w:pPr>
            <w:r>
              <w:rPr>
                <w:rFonts w:ascii="Calibri" w:hAnsi="Calibri"/>
                <w:color w:val="000000"/>
                <w:sz w:val="22"/>
              </w:rPr>
              <w:t xml:space="preserve">Legal ad published January 22, 2020 asking for input on the needs of the community. See Attachment 2 for a copy of the ad</w:t>
            </w:r>
          </w:p>
        </w:tc>
        <w:tc>
          <w:tcPr>
            <w:vAlign w:val="top"/>
          </w:tcPr>
          <w:p>
            <w:pPr>
              <w:spacing w:beforeAutospacing="true" w:afterAutospacing="true"/>
              <w:jc w:val="left"/>
            </w:pPr>
            <w:r>
              <w:rPr>
                <w:rFonts w:ascii="Calibri" w:hAnsi="Calibri"/>
                <w:color w:val="000000"/>
                <w:sz w:val="22"/>
              </w:rPr>
              <w:t xml:space="preserve">See Attachment 1 for comments received</w:t>
            </w:r>
          </w:p>
        </w:tc>
        <w:tc>
          <w:tcPr>
            <w:vAlign w:val="top"/>
          </w:tcPr>
          <w:p>
            <w:pPr>
              <w:spacing w:beforeAutospacing="true" w:afterAutospacing="true"/>
              <w:jc w:val="left"/>
            </w:pPr>
            <w:r>
              <w:rPr>
                <w:rFonts w:ascii="Calibri" w:hAnsi="Calibri"/>
                <w:color w:val="000000"/>
                <w:sz w:val="22"/>
              </w:rPr>
              <w:t xml:space="preserve">All comments were accepted</w:t>
            </w:r>
          </w:p>
        </w:tc>
        <w:tc>
          <w:tcPr>
            <w:vAlign w:val="top"/>
          </w:tcPr>
          <w:p>
            <w:pPr>
              <w:spacing w:beforeAutospacing="true" w:afterAutospacing="true"/>
              <w:jc w:val="left"/>
            </w:pPr>
            <w:r>
              <w:rPr>
                <w:rFonts w:ascii="Calibri" w:hAnsi="Calibri"/>
                <w:color w:val="000000"/>
                <w:sz w:val="22"/>
              </w:rPr>
              <w:t xml:space="preserve"> </w:t>
            </w:r>
          </w:p>
        </w:tc>
      </w:tr>
    </w:tbl>
    <w:p>
      <w:pPr>
        <w:pStyle w:val="Caption"/>
        <w:jc w:val="center"/>
        <w:rPr>
          <w:rFonts w:asciiTheme="minorHAnsi" w:hAnsiTheme="minorHAnsi"/>
        </w:rPr>
      </w:pPr>
      <w:r>
        <w:rPr>
          <w:rFonts w:asciiTheme="minorHAnsi" w:hAnsiTheme="minorHAnsi"/>
        </w:rPr>
        <w:t xml:space="preserve">Table </w:t>
        <w:fldChar w:fldCharType="begin"/>
        <w:instrText xml:space="preserve"> SEQ Table \* ARABIC </w:instrText>
        <w:fldChar w:fldCharType="separate"/>
        <w:t>4</w:t>
        <w:fldChar w:fldCharType="end"/>
        <w:t>– Citizen Participation Outreach</w:t>
      </w:r>
    </w:p>
    <w:p>
      <w:pPr>
        <w:keepNext/>
        <w:jc w:val="center"/>
        <w:rPr>
          <w:b/>
          <w:bCs/>
          <w:sz w:val="20"/>
          <w:szCs w:val="20"/>
        </w:rPr>
      </w:pPr>
    </w:p>
    <w:p>
      <w:pPr>
        <w:rPr>
          <w:rFonts w:cs="Arial"/>
        </w:rPr>
      </w:pPr>
    </w:p>
    <w:p>
      <w:pPr>
        <w:pStyle w:val="Heading1"/>
        <w:pageBreakBefore/>
        <w:jc w:val="center"/>
        <w:rPr>
          <w:rFonts w:ascii="Calibri" w:hAnsi="Calibri"/>
          <w:color w:val="auto"/>
          <w:sz w:val="32"/>
          <w:szCs w:val="32"/>
        </w:rPr>
        <w:sectPr>
          <w:pgSz w:w="15840" w:h="12240" w:orient="landscape"/>
          <w:pgMar w:top="1440" w:right="1440" w:bottom="1440" w:left="1440" w:header="720" w:footer="720" w:gutter="0"/>
          <w:cols w:space="720"/>
          <w:docGrid w:linePitch="360"/>
        </w:sectPr>
      </w:pPr>
    </w:p>
    <w:bookmarkEnd w:id="0"/>
    <w:p>
      <w:pPr>
        <w:pStyle w:val="Heading1"/>
        <w:pageBreakBefore/>
        <w:jc w:val="center"/>
        <w:rPr>
          <w:rFonts w:ascii="Calibri" w:hAnsi="Calibri"/>
          <w:color w:val="auto"/>
          <w:sz w:val="32"/>
          <w:szCs w:val="32"/>
        </w:rPr>
      </w:pPr>
      <w:r>
        <w:rPr>
          <w:rFonts w:ascii="Calibri" w:hAnsi="Calibri"/>
          <w:color w:val="auto"/>
          <w:sz w:val="32"/>
          <w:szCs w:val="32"/>
        </w:rPr>
        <w:t>Needs Assessment</w:t>
      </w:r>
    </w:p>
    <w:p>
      <w:pPr>
        <w:pStyle w:val="Heading2"/>
        <w:rPr>
          <w:rFonts w:ascii="Calibri" w:hAnsi="Calibri"/>
          <w:i w:val="false"/>
        </w:rPr>
      </w:pPr>
      <w:r>
        <w:rPr>
          <w:rFonts w:ascii="Calibri" w:hAnsi="Calibri"/>
          <w:i w:val="false"/>
        </w:rPr>
        <w:t>NA-05 Overview</w:t>
      </w:r>
    </w:p>
    <w:p>
      <w:pPr>
        <w:rPr>
          <w:b/>
          <w:sz w:val="24"/>
          <w:szCs w:val="24"/>
        </w:rPr>
      </w:pPr>
      <w:r>
        <w:rPr>
          <w:b/>
          <w:sz w:val="24"/>
          <w:szCs w:val="24"/>
        </w:rPr>
        <w:t>Needs Assessment Overview</w:t>
      </w:r>
    </w:p>
    <w:p>
      <w:pPr>
        <w:spacing w:beforeAutospacing="true" w:afterAutospacing="true"/>
        <w:rPr>
          <w:rFonts w:cs="Arial"/>
        </w:rPr>
      </w:pPr>
      <w:r>
        <w:rPr>
          <w:rFonts w:cs="Arial"/>
          <w:i/>
        </w:rPr>
        <w:t xml:space="preserve">Disproportionate Need</w:t>
      </w:r>
      <w:r>
        <w:rPr>
          <w:rFonts w:cs="Arial"/>
        </w:rPr>
        <w:t xml:space="preserve"> - The housing needs assessment shows that renters with incomes below 50% AMI have a disproportionately greater need for affordable housing or assistance than households (renters and owners) with incomes above 50% AMI.  The rapid rise in home prices and rental rates, since 2014, has jeopardized the economic well-being of one out of every five renter households in the Salt Lake County (excluding Salt Lake City).  These 30,111 extremely low and very low-income households face a severe housing cost burden and have at least one housing problems, and many are one life event (auto accident, health issue, unemployment) away from homelessness.</w:t>
      </w:r>
    </w:p>
    <w:p>
      <w:pPr>
        <w:spacing w:beforeAutospacing="true" w:afterAutospacing="true"/>
        <w:rPr>
          <w:rFonts w:cs="Arial"/>
        </w:rPr>
      </w:pPr>
      <w:r>
        <w:rPr>
          <w:rFonts w:cs="Arial"/>
        </w:rPr>
        <w:t xml:space="preserve"> </w:t>
      </w:r>
    </w:p>
    <w:p>
      <w:pPr>
        <w:spacing w:beforeAutospacing="true" w:afterAutospacing="true"/>
        <w:rPr>
          <w:rFonts w:cs="Arial"/>
        </w:rPr>
      </w:pPr>
      <w:r>
        <w:rPr>
          <w:rFonts w:cs="Arial"/>
          <w:i/>
        </w:rPr>
        <w:t xml:space="preserve">Homeless Assessment</w:t>
      </w:r>
      <w:r>
        <w:rPr>
          <w:rFonts w:cs="Arial"/>
        </w:rPr>
        <w:t xml:space="preserve"> -Three recently completed resource centers with 700 beds for the homeless are operating at full capacity.  About 9,500 individuals in Salt Lake County lose their housing each year, while about 9,500 exit homelessness each year.  Over a full year, 19,000 individuals, about two percent of the county’s population, will experience some period of homelessness.  The average length of homelessness is 70 days. </w:t>
      </w:r>
    </w:p>
    <w:p>
      <w:pPr>
        <w:spacing w:beforeAutospacing="true" w:afterAutospacing="true"/>
        <w:rPr>
          <w:rFonts w:cs="Arial"/>
        </w:rPr>
      </w:pPr>
      <w:r>
        <w:rPr>
          <w:rFonts w:cs="Arial"/>
        </w:rPr>
        <w:t xml:space="preserve"> </w:t>
      </w:r>
    </w:p>
    <w:p>
      <w:pPr>
        <w:spacing w:beforeAutospacing="true" w:afterAutospacing="true"/>
        <w:rPr>
          <w:rFonts w:cs="Arial"/>
        </w:rPr>
      </w:pPr>
      <w:r>
        <w:rPr>
          <w:rFonts w:cs="Arial"/>
          <w:i/>
        </w:rPr>
        <w:t xml:space="preserve">Special Population Assessment -</w:t>
      </w:r>
      <w:r>
        <w:rPr>
          <w:rFonts w:cs="Arial"/>
        </w:rPr>
        <w:t xml:space="preserve"> Many non-homeless special needs households, comprised of elderly, disabled, HIV/AIDs, or victims of domestic violence, face a housing shortage and often have severe housing cost burdens.  The facilities that provide permanent supportive housing are at full capacity, and the availability of tax credit units or affordable market-rate units is limited.</w:t>
      </w:r>
    </w:p>
    <w:p>
      <w:pPr>
        <w:spacing w:beforeAutospacing="true" w:afterAutospacing="true"/>
        <w:rPr>
          <w:rFonts w:cs="Arial"/>
        </w:rPr>
      </w:pPr>
      <w:r>
        <w:rPr>
          <w:rFonts w:cs="Arial"/>
          <w:b/>
        </w:rPr>
        <w:t xml:space="preserve"> </w:t>
      </w:r>
    </w:p>
    <w:p>
      <w:pPr>
        <w:spacing w:beforeAutospacing="true" w:afterAutospacing="true"/>
        <w:rPr>
          <w:rFonts w:cs="Arial"/>
        </w:rPr>
      </w:pPr>
      <w:r>
        <w:rPr>
          <w:rFonts w:cs="Arial"/>
          <w:i/>
        </w:rPr>
        <w:t xml:space="preserve"> </w:t>
      </w:r>
    </w:p>
    <w:p>
      <w:pPr>
        <w:spacing w:beforeAutospacing="true" w:afterAutospacing="true"/>
        <w:rPr>
          <w:rFonts w:cs="Arial"/>
        </w:rPr>
      </w:pPr>
      <w:r>
        <w:rPr>
          <w:rFonts w:cs="Arial"/>
        </w:rPr>
        <w:t xml:space="preserve"> </w:t>
      </w:r>
    </w:p>
    <w:p>
      <w:pPr>
        <w:pStyle w:val="Heading2"/>
        <w:pageBreakBefore/>
        <w:rPr>
          <w:rFonts w:ascii="Calibri" w:hAnsi="Calibri"/>
          <w:i w:val="false"/>
        </w:rPr>
        <w:sectPr>
          <w:pgSz w:w="12240" w:h="15840"/>
          <w:pgMar w:top="1440" w:right="1440" w:bottom="1440" w:left="1440" w:header="720" w:footer="720" w:gutter="0"/>
          <w:cols w:space="720"/>
          <w:docGrid w:linePitch="360"/>
        </w:sectPr>
      </w:pPr>
    </w:p>
    <w:p>
      <w:pPr>
        <w:pStyle w:val="Heading2"/>
        <w:pageBreakBefore/>
        <w:rPr>
          <w:rFonts w:ascii="Calibri" w:hAnsi="Calibri"/>
        </w:rPr>
      </w:pPr>
      <w:r>
        <w:rPr>
          <w:rFonts w:ascii="Calibri" w:hAnsi="Calibri"/>
          <w:i w:val="false"/>
        </w:rPr>
        <w:t>NA-40 Homeless Needs Assessment - 91.405, 91.205 (c)</w:t>
      </w:r>
      <w:r>
        <w:rPr>
          <w:rFonts w:ascii="Calibri" w:hAnsi="Calibri"/>
        </w:rPr>
      </w:r>
    </w:p>
    <w:p>
      <w:pPr>
        <w:spacing w:line="204" w:lineRule="auto"/>
        <w:rPr>
          <w:b/>
          <w:sz w:val="24"/>
          <w:szCs w:val="24"/>
        </w:rPr>
      </w:pPr>
      <w:r>
        <w:rPr>
          <w:b/>
          <w:sz w:val="24"/>
          <w:szCs w:val="24"/>
        </w:rPr>
        <w:t>Introduction:</w:t>
      </w:r>
      <w:r>
        <w:rPr>
          <w:b/>
          <w:i/>
          <w:sz w:val="24"/>
          <w:szCs w:val="24"/>
        </w:rPr>
      </w:r>
    </w:p>
    <w:p>
      <w:pPr>
        <w:spacing w:line="204" w:lineRule="auto"/>
        <w:rPr>
          <w:b/>
          <w:sz w:val="24"/>
          <w:szCs w:val="24"/>
        </w:rPr>
      </w:pPr>
      <w:r>
        <w:t xml:space="preserve"> </w:t>
      </w:r>
    </w:p>
    <w:p>
      <w:pPr>
        <w:spacing w:beforeAutospacing="true" w:afterAutospacing="true"/>
        <w:rPr>
          <w:b/>
          <w:sz w:val="24"/>
          <w:szCs w:val="24"/>
        </w:rPr>
      </w:pPr>
      <w:r>
        <w:rPr>
          <w:rFonts w:cs="Arial"/>
        </w:rPr>
        <w:t xml:space="preserve">The annual Point-in-Time count of January 2019 shows 1,651 sheltered homeless individuals in Salt Lake County and 193 unsheltered. During 2018 12,768 individuals in Salt Lake County become homeless while 9,291 individuals exited homelessness.  The number of people experiencing homelessness at some time during the years was over 20,000, about 1.7% of the county’s population.  The number of persons who lose their housing and become homeless each year is about 10,000 individuals in Salt Lake County, while nearly 10,000 exit homeless.  The average number of days that a person experiences homelessness in Salt Lake County is 70 days (includes persons in emergency shelters and transitional housing).</w:t>
      </w:r>
    </w:p>
    <w:p>
      <w:pPr>
        <w:spacing w:beforeAutospacing="true" w:afterAutospacing="true"/>
        <w:rPr>
          <w:b/>
          <w:sz w:val="24"/>
          <w:szCs w:val="24"/>
        </w:rPr>
      </w:pPr>
      <w:r>
        <w:rPr>
          <w:rFonts w:cs="Arial"/>
        </w:rPr>
        <w:t xml:space="preserve"> </w:t>
      </w:r>
      <w:r>
        <w:rPr>
          <w:rFonts w:cs="Arial"/>
        </w:rPr>
        <w:t xml:space="preserve">The 2019 Point-in-Time count shows that 297 chronically homeless individuals were sheltered and 86 were unsheltered.  In addition, 145 homeless veterans, 95 homeless unaccompanied youth, and 19 homeless persons with HIV were sheltered.  The most recent data on the race and </w:t>
      </w:r>
    </w:p>
    <w:p>
      <w:pPr>
        <w:spacing w:beforeAutospacing="true" w:afterAutospacing="true"/>
        <w:rPr>
          <w:b/>
          <w:sz w:val="24"/>
          <w:szCs w:val="24"/>
        </w:rPr>
      </w:pPr>
      <w:r>
        <w:rPr>
          <w:rFonts w:cs="Arial"/>
        </w:rPr>
        <w:t xml:space="preserve">y coordinates closely with the State of Utah and its State Homeless Coordinating Committee, the Salt Lake Valley Coalition to End Homelessness, Salt Lake City and local homeless housing and service providers. This partnership has allowed all of the homeless service programs to better coordinate efforts and streamline policies and goals to determine the best ways to increase access to mainstream services for those experiencing homelessness in our community.</w:t>
      </w:r>
    </w:p>
    <w:p>
      <w:pPr>
        <w:spacing w:beforeAutospacing="true" w:afterAutospacing="true"/>
        <w:rPr>
          <w:b/>
          <w:sz w:val="24"/>
          <w:szCs w:val="24"/>
        </w:rPr>
      </w:pPr>
      <w:r>
        <w:rPr>
          <w:rFonts w:cs="Arial"/>
        </w:rPr>
        <w:t xml:space="preserve"> </w:t>
      </w:r>
    </w:p>
    <w:p>
      <w:pPr>
        <w:spacing w:beforeAutospacing="true" w:afterAutospacing="true"/>
        <w:rPr>
          <w:b/>
          <w:sz w:val="24"/>
          <w:szCs w:val="24"/>
        </w:rPr>
      </w:pPr>
    </w:p>
    <w:p>
      <w:pPr>
        <w:spacing w:beforeAutospacing="true" w:afterAutospacing="true"/>
        <w:rPr>
          <w:b/>
          <w:sz w:val="24"/>
          <w:szCs w:val="24"/>
        </w:rPr>
      </w:pPr>
    </w:p>
    <w:p>
      <w:pPr>
        <w:keepNext/>
        <w:widowControl w:val="false"/>
        <w:rPr>
          <w:b/>
          <w:i/>
          <w:sz w:val="24"/>
          <w:szCs w:val="24"/>
        </w:rPr>
      </w:pPr>
      <w:r>
        <w:rPr>
          <w:b/>
          <w:sz w:val="24"/>
          <w:szCs w:val="24"/>
        </w:rPr>
        <w:t>Homeless Needs Assessment</w:t>
      </w:r>
      <w:r>
        <w:rPr>
          <w:sz w:val="24"/>
          <w:szCs w:val="24"/>
        </w:rPr>
      </w:r>
    </w:p>
    <w:tbl>
      <w:tblPr>
        <w:tblW w:w="5000" w:type="pct"/>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15" w:type="dxa"/>
          <w:right w:w="115" w:type="dxa"/>
        </w:tblCellMar>
        <w:tblLook w:firstRow="1" w:lastRow="1" w:firstColumn="1" w:lastColumn="1" w:noHBand="0" w:noVBand="0" w:val="01E0"/>
      </w:tblPr>
      <w:tblGrid>
        <w:gridCol w:w="2700"/>
        <w:gridCol w:w="1620"/>
        <w:gridCol w:w="1620"/>
        <w:gridCol w:w="1812"/>
        <w:gridCol w:w="1813"/>
        <w:gridCol w:w="1812"/>
        <w:gridCol w:w="1813"/>
      </w:tblGrid>
      <w:tr>
        <w:trPr>
          <w:cantSplit/>
          <w:tblHeader/>
        </w:trPr>
        <w:tc>
          <w:tcPr>
            <w:tcW w:w="13190" w:type="dxa"/>
            <w:gridSpan w:val="7"/>
            <w:tcBorders>
              <w:top w:val="nil"/>
              <w:left w:val="nil"/>
              <w:bottom w:val="single" w:color="auto" w:sz="4" w:space="0"/>
              <w:right w:val="nil"/>
            </w:tcBorders>
          </w:tcPr>
          <w:p>
            <w:pPr>
              <w:keepNext/>
              <w:widowControl w:val="false"/>
              <w:spacing w:after="0" w:line="240" w:lineRule="auto"/>
            </w:pPr>
            <w:r/>
          </w:p>
        </w:tc>
      </w:tr>
      <w:tr>
        <w:trPr>
          <w:cantSplit/>
          <w:tblHeader/>
        </w:trPr>
        <w:tc>
          <w:tcPr>
            <w:tcW w:w="2700" w:type="dxa"/>
            <w:tcBorders>
              <w:top w:val="single" w:color="auto" w:sz="4" w:space="0"/>
            </w:tcBorders>
          </w:tcPr>
          <w:p>
            <w:pPr>
              <w:keepNext/>
              <w:widowControl w:val="false"/>
              <w:spacing w:after="0" w:line="240" w:lineRule="auto"/>
              <w:jc w:val="center"/>
              <w:rPr>
                <w:b/>
              </w:rPr>
            </w:pPr>
            <w:r>
              <w:rPr>
                <w:b/>
              </w:rPr>
              <w:t>Population</w:t>
            </w:r>
          </w:p>
        </w:tc>
        <w:tc>
          <w:tcPr>
            <w:tcW w:w="3240" w:type="dxa"/>
            <w:gridSpan w:val="2"/>
            <w:tcBorders>
              <w:top w:val="single" w:color="auto" w:sz="4" w:space="0"/>
            </w:tcBorders>
          </w:tcPr>
          <w:p>
            <w:pPr>
              <w:keepNext/>
              <w:widowControl w:val="false"/>
              <w:spacing w:after="0" w:line="240" w:lineRule="auto"/>
              <w:jc w:val="center"/>
              <w:rPr>
                <w:b/>
              </w:rPr>
            </w:pPr>
            <w:r>
              <w:rPr>
                <w:b/>
              </w:rPr>
              <w:t>Estimate the # of persons experiencing homelessness on a given night</w:t>
            </w:r>
          </w:p>
        </w:tc>
        <w:tc>
          <w:tcPr>
            <w:tcW w:w="1812" w:type="dxa"/>
            <w:tcBorders>
              <w:top w:val="single" w:color="auto" w:sz="4" w:space="0"/>
            </w:tcBorders>
          </w:tcPr>
          <w:p>
            <w:pPr>
              <w:keepNext/>
              <w:widowControl w:val="false"/>
              <w:spacing w:after="0" w:line="240" w:lineRule="auto"/>
              <w:jc w:val="center"/>
              <w:rPr>
                <w:b/>
              </w:rPr>
            </w:pPr>
            <w:r>
              <w:rPr>
                <w:b/>
              </w:rPr>
              <w:t>Estimate the # experiencing homelessness each year</w:t>
            </w:r>
          </w:p>
        </w:tc>
        <w:tc>
          <w:tcPr>
            <w:tcW w:w="1813" w:type="dxa"/>
            <w:tcBorders>
              <w:top w:val="single" w:color="auto" w:sz="4" w:space="0"/>
            </w:tcBorders>
          </w:tcPr>
          <w:p>
            <w:pPr>
              <w:keepNext/>
              <w:widowControl w:val="false"/>
              <w:spacing w:after="0" w:line="240" w:lineRule="auto"/>
              <w:jc w:val="center"/>
              <w:rPr>
                <w:b/>
              </w:rPr>
            </w:pPr>
            <w:r>
              <w:rPr>
                <w:b/>
              </w:rPr>
              <w:t>Estimate the # becoming homeless each year</w:t>
            </w:r>
          </w:p>
        </w:tc>
        <w:tc>
          <w:tcPr>
            <w:tcW w:w="1812" w:type="dxa"/>
            <w:tcBorders>
              <w:top w:val="single" w:color="auto" w:sz="4" w:space="0"/>
            </w:tcBorders>
          </w:tcPr>
          <w:p>
            <w:pPr>
              <w:keepNext/>
              <w:widowControl w:val="false"/>
              <w:spacing w:after="0" w:line="240" w:lineRule="auto"/>
              <w:jc w:val="center"/>
              <w:rPr>
                <w:b/>
              </w:rPr>
            </w:pPr>
            <w:r>
              <w:rPr>
                <w:b/>
              </w:rPr>
              <w:t>Estimate the # exiting homelessness each year</w:t>
            </w:r>
          </w:p>
        </w:tc>
        <w:tc>
          <w:tcPr>
            <w:tcW w:w="1813" w:type="dxa"/>
            <w:tcBorders>
              <w:top w:val="single" w:color="auto" w:sz="4" w:space="0"/>
            </w:tcBorders>
          </w:tcPr>
          <w:p>
            <w:pPr>
              <w:keepNext/>
              <w:widowControl w:val="false"/>
              <w:spacing w:after="0" w:line="240" w:lineRule="auto"/>
              <w:jc w:val="center"/>
              <w:rPr>
                <w:b/>
              </w:rPr>
            </w:pPr>
            <w:r>
              <w:rPr>
                <w:b/>
              </w:rPr>
              <w:t>Estimate the # of days persons experience homelessness</w:t>
            </w:r>
          </w:p>
        </w:tc>
      </w:tr>
      <w:tr>
        <w:trPr>
          <w:cantSplit/>
          <w:tblHeader/>
        </w:trPr>
        <w:tc>
          <w:tcPr>
            <w:tcW w:w="2700" w:type="dxa"/>
          </w:tcPr>
          <w:p>
            <w:pPr>
              <w:keepNext/>
              <w:widowControl w:val="false"/>
              <w:spacing w:after="0" w:line="240" w:lineRule="auto"/>
              <w:jc w:val="center"/>
              <w:rPr>
                <w:b/>
              </w:rPr>
            </w:pPr>
          </w:p>
        </w:tc>
        <w:tc>
          <w:tcPr>
            <w:tcW w:w="1620" w:type="dxa"/>
          </w:tcPr>
          <w:p>
            <w:pPr>
              <w:keepNext/>
              <w:widowControl w:val="false"/>
              <w:spacing w:after="0" w:line="240" w:lineRule="auto"/>
              <w:jc w:val="center"/>
              <w:rPr>
                <w:b/>
                <w:szCs w:val="26"/>
              </w:rPr>
            </w:pPr>
            <w:r>
              <w:rPr>
                <w:b/>
              </w:rPr>
              <w:t>Sheltered</w:t>
            </w:r>
          </w:p>
        </w:tc>
        <w:tc>
          <w:tcPr>
            <w:tcW w:w="1620" w:type="dxa"/>
          </w:tcPr>
          <w:p>
            <w:pPr>
              <w:keepNext/>
              <w:widowControl w:val="false"/>
              <w:spacing w:after="0" w:line="240" w:lineRule="auto"/>
              <w:jc w:val="center"/>
              <w:rPr>
                <w:b/>
                <w:szCs w:val="26"/>
              </w:rPr>
            </w:pPr>
            <w:r>
              <w:rPr>
                <w:b/>
              </w:rPr>
              <w:t>Unsheltered</w:t>
            </w:r>
          </w:p>
        </w:tc>
        <w:tc>
          <w:tcPr>
            <w:tcW w:w="1812" w:type="dxa"/>
          </w:tcPr>
          <w:p>
            <w:pPr>
              <w:keepNext/>
              <w:widowControl w:val="false"/>
              <w:spacing w:after="0" w:line="240" w:lineRule="auto"/>
              <w:jc w:val="center"/>
              <w:rPr>
                <w:b/>
              </w:rPr>
            </w:pPr>
          </w:p>
        </w:tc>
        <w:tc>
          <w:tcPr>
            <w:tcW w:w="1813" w:type="dxa"/>
          </w:tcPr>
          <w:p>
            <w:pPr>
              <w:keepNext/>
              <w:widowControl w:val="false"/>
              <w:spacing w:after="0" w:line="240" w:lineRule="auto"/>
              <w:jc w:val="center"/>
              <w:rPr>
                <w:b/>
              </w:rPr>
            </w:pPr>
          </w:p>
        </w:tc>
        <w:tc>
          <w:tcPr>
            <w:tcW w:w="1812" w:type="dxa"/>
          </w:tcPr>
          <w:p>
            <w:pPr>
              <w:keepNext/>
              <w:widowControl w:val="false"/>
              <w:spacing w:after="0" w:line="240" w:lineRule="auto"/>
              <w:jc w:val="center"/>
              <w:rPr>
                <w:b/>
              </w:rPr>
            </w:pPr>
          </w:p>
        </w:tc>
        <w:tc>
          <w:tcPr>
            <w:tcW w:w="1813" w:type="dxa"/>
          </w:tcPr>
          <w:p>
            <w:pPr>
              <w:keepNext/>
              <w:widowControl w:val="false"/>
              <w:spacing w:after="0" w:line="240" w:lineRule="auto"/>
              <w:jc w:val="center"/>
              <w:rPr>
                <w:b/>
              </w:rPr>
            </w:pPr>
          </w:p>
        </w:tc>
      </w:tr>
      <w:tr>
        <w:trPr>
          <w:cantSplit w:val="true"/>
        </w:trPr>
        <w:tc>
          <w:tcPr>
            <w:vAlign w:val="top"/>
          </w:tcPr>
          <w:p>
            <w:pPr>
              <w:spacing w:beforeAutospacing="true" w:afterAutospacing="true"/>
              <w:jc w:val="left"/>
            </w:pPr>
            <w:r>
              <w:rPr>
                <w:rFonts w:ascii="Calibri" w:hAnsi="Calibri"/>
                <w:color w:val="000000"/>
                <w:sz w:val="22"/>
              </w:rPr>
              <w:t xml:space="preserve">Persons in Households with Adult(s) and Child(ren)</w:t>
            </w:r>
          </w:p>
        </w:tc>
        <w:tc>
          <w:tcPr>
            <w:vAlign w:val="bottom"/>
          </w:tcPr>
          <w:p>
            <w:pPr>
              <w:spacing w:beforeAutospacing="true" w:afterAutospacing="true"/>
              <w:jc w:val="right"/>
            </w:pPr>
            <w:r>
              <w:rPr>
                <w:rFonts w:ascii="Calibri" w:hAnsi="Calibri"/>
                <w:color w:val="000000"/>
                <w:sz w:val="22"/>
              </w:rPr>
              <w:t xml:space="preserve">824</w:t>
            </w:r>
          </w:p>
        </w:tc>
        <w:tc>
          <w:tcPr>
            <w:vAlign w:val="bottom"/>
          </w:tcPr>
          <w:p>
            <w:pPr>
              <w:spacing w:beforeAutospacing="true" w:afterAutospacing="true"/>
              <w:jc w:val="right"/>
            </w:pPr>
            <w:r>
              <w:rPr>
                <w:rFonts w:ascii="Calibri" w:hAnsi="Calibri"/>
                <w:color w:val="000000"/>
                <w:sz w:val="22"/>
              </w:rPr>
              <w:t xml:space="preserve">6</w:t>
            </w:r>
          </w:p>
        </w:tc>
        <w:tc>
          <w:tcPr>
            <w:vAlign w:val="bottom"/>
          </w:tcPr>
          <w:p>
            <w:pPr>
              <w:spacing w:beforeAutospacing="true" w:afterAutospacing="true"/>
              <w:jc w:val="right"/>
            </w:pPr>
            <w:r>
              <w:rPr>
                <w:rFonts w:ascii="Calibri" w:hAnsi="Calibri"/>
                <w:color w:val="000000"/>
                <w:sz w:val="22"/>
              </w:rPr>
              <w:t xml:space="preserve">4,045</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53</w:t>
            </w:r>
          </w:p>
        </w:tc>
      </w:tr>
      <w:tr>
        <w:trPr>
          <w:cantSplit w:val="true"/>
        </w:trPr>
        <w:tc>
          <w:tcPr>
            <w:vAlign w:val="top"/>
          </w:tcPr>
          <w:p>
            <w:pPr>
              <w:spacing w:beforeAutospacing="true" w:afterAutospacing="true"/>
              <w:jc w:val="left"/>
            </w:pPr>
            <w:r>
              <w:rPr>
                <w:rFonts w:ascii="Calibri" w:hAnsi="Calibri"/>
                <w:color w:val="000000"/>
                <w:sz w:val="22"/>
              </w:rPr>
              <w:t xml:space="preserve">Persons in Households with Only Children</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top"/>
          </w:tcPr>
          <w:p>
            <w:pPr>
              <w:spacing w:beforeAutospacing="true" w:afterAutospacing="true"/>
              <w:jc w:val="left"/>
            </w:pPr>
            <w:r>
              <w:rPr>
                <w:rFonts w:ascii="Calibri" w:hAnsi="Calibri"/>
                <w:color w:val="000000"/>
                <w:sz w:val="22"/>
              </w:rPr>
              <w:t xml:space="preserve">Persons in Households with Only Adults</w:t>
            </w:r>
          </w:p>
        </w:tc>
        <w:tc>
          <w:tcPr>
            <w:vAlign w:val="bottom"/>
          </w:tcPr>
          <w:p>
            <w:pPr>
              <w:spacing w:beforeAutospacing="true" w:afterAutospacing="true"/>
              <w:jc w:val="right"/>
            </w:pPr>
            <w:r>
              <w:rPr>
                <w:rFonts w:ascii="Calibri" w:hAnsi="Calibri"/>
                <w:color w:val="000000"/>
                <w:sz w:val="22"/>
              </w:rPr>
              <w:t xml:space="preserve">1,262</w:t>
            </w:r>
          </w:p>
        </w:tc>
        <w:tc>
          <w:tcPr>
            <w:vAlign w:val="bottom"/>
          </w:tcPr>
          <w:p>
            <w:pPr>
              <w:spacing w:beforeAutospacing="true" w:afterAutospacing="true"/>
              <w:jc w:val="right"/>
            </w:pPr>
            <w:r>
              <w:rPr>
                <w:rFonts w:ascii="Calibri" w:hAnsi="Calibri"/>
                <w:color w:val="000000"/>
                <w:sz w:val="22"/>
              </w:rPr>
              <w:t xml:space="preserve">84</w:t>
            </w:r>
          </w:p>
        </w:tc>
        <w:tc>
          <w:tcPr>
            <w:vAlign w:val="bottom"/>
          </w:tcPr>
          <w:p>
            <w:pPr>
              <w:spacing w:beforeAutospacing="true" w:afterAutospacing="true"/>
              <w:jc w:val="right"/>
            </w:pPr>
            <w:r>
              <w:rPr>
                <w:rFonts w:ascii="Calibri" w:hAnsi="Calibri"/>
                <w:color w:val="000000"/>
                <w:sz w:val="22"/>
              </w:rPr>
              <w:t xml:space="preserve">5,765</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68</w:t>
            </w:r>
          </w:p>
        </w:tc>
      </w:tr>
      <w:tr>
        <w:trPr>
          <w:cantSplit w:val="true"/>
        </w:trPr>
        <w:tc>
          <w:tcPr>
            <w:vAlign w:val="top"/>
          </w:tcPr>
          <w:p>
            <w:pPr>
              <w:spacing w:beforeAutospacing="true" w:afterAutospacing="true"/>
              <w:jc w:val="left"/>
            </w:pPr>
            <w:r>
              <w:rPr>
                <w:rFonts w:ascii="Calibri" w:hAnsi="Calibri"/>
                <w:color w:val="000000"/>
                <w:sz w:val="22"/>
              </w:rPr>
              <w:t xml:space="preserve">Chronically Homeless Individuals</w:t>
            </w:r>
          </w:p>
        </w:tc>
        <w:tc>
          <w:tcPr>
            <w:vAlign w:val="bottom"/>
          </w:tcPr>
          <w:p>
            <w:pPr>
              <w:spacing w:beforeAutospacing="true" w:afterAutospacing="true"/>
              <w:jc w:val="right"/>
            </w:pPr>
            <w:r>
              <w:rPr>
                <w:rFonts w:ascii="Calibri" w:hAnsi="Calibri"/>
                <w:color w:val="000000"/>
                <w:sz w:val="22"/>
              </w:rPr>
              <w:t xml:space="preserve">143</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151</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365</w:t>
            </w:r>
          </w:p>
        </w:tc>
      </w:tr>
      <w:tr>
        <w:trPr>
          <w:cantSplit w:val="true"/>
        </w:trPr>
        <w:tc>
          <w:tcPr>
            <w:vAlign w:val="top"/>
          </w:tcPr>
          <w:p>
            <w:pPr>
              <w:spacing w:beforeAutospacing="true" w:afterAutospacing="true"/>
              <w:jc w:val="left"/>
            </w:pPr>
            <w:r>
              <w:rPr>
                <w:rFonts w:ascii="Calibri" w:hAnsi="Calibri"/>
                <w:color w:val="000000"/>
                <w:sz w:val="22"/>
              </w:rPr>
              <w:t xml:space="preserve">Chronically Homeless Families</w:t>
            </w:r>
          </w:p>
        </w:tc>
        <w:tc>
          <w:tcPr>
            <w:vAlign w:val="bottom"/>
          </w:tcPr>
          <w:p>
            <w:pPr>
              <w:spacing w:beforeAutospacing="true" w:afterAutospacing="true"/>
              <w:jc w:val="right"/>
            </w:pPr>
            <w:r>
              <w:rPr>
                <w:rFonts w:ascii="Calibri" w:hAnsi="Calibri"/>
                <w:color w:val="000000"/>
                <w:sz w:val="22"/>
              </w:rPr>
              <w:t xml:space="preserve">9</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365</w:t>
            </w:r>
          </w:p>
        </w:tc>
      </w:tr>
      <w:tr>
        <w:trPr>
          <w:cantSplit w:val="true"/>
        </w:trPr>
        <w:tc>
          <w:tcPr>
            <w:vAlign w:val="top"/>
          </w:tcPr>
          <w:p>
            <w:pPr>
              <w:spacing w:beforeAutospacing="true" w:afterAutospacing="true"/>
              <w:jc w:val="left"/>
            </w:pPr>
            <w:r>
              <w:rPr>
                <w:rFonts w:ascii="Calibri" w:hAnsi="Calibri"/>
                <w:color w:val="000000"/>
                <w:sz w:val="22"/>
              </w:rPr>
              <w:t xml:space="preserve">Veterans</w:t>
            </w:r>
          </w:p>
        </w:tc>
        <w:tc>
          <w:tcPr>
            <w:vAlign w:val="bottom"/>
          </w:tcPr>
          <w:p>
            <w:pPr>
              <w:spacing w:beforeAutospacing="true" w:afterAutospacing="true"/>
              <w:jc w:val="right"/>
            </w:pPr>
            <w:r>
              <w:rPr>
                <w:rFonts w:ascii="Calibri" w:hAnsi="Calibri"/>
                <w:color w:val="000000"/>
                <w:sz w:val="22"/>
              </w:rPr>
              <w:t xml:space="preserve">277</w:t>
            </w:r>
          </w:p>
        </w:tc>
        <w:tc>
          <w:tcPr>
            <w:vAlign w:val="bottom"/>
          </w:tcPr>
          <w:p>
            <w:pPr>
              <w:spacing w:beforeAutospacing="true" w:afterAutospacing="true"/>
              <w:jc w:val="right"/>
            </w:pPr>
            <w:r>
              <w:rPr>
                <w:rFonts w:ascii="Calibri" w:hAnsi="Calibri"/>
                <w:color w:val="000000"/>
                <w:sz w:val="22"/>
              </w:rPr>
              <w:t xml:space="preserve">10</w:t>
            </w:r>
          </w:p>
        </w:tc>
        <w:tc>
          <w:tcPr>
            <w:vAlign w:val="bottom"/>
          </w:tcPr>
          <w:p>
            <w:pPr>
              <w:spacing w:beforeAutospacing="true" w:afterAutospacing="true"/>
              <w:jc w:val="right"/>
            </w:pPr>
            <w:r>
              <w:rPr>
                <w:rFonts w:ascii="Calibri" w:hAnsi="Calibri"/>
                <w:color w:val="000000"/>
                <w:sz w:val="22"/>
              </w:rPr>
              <w:t xml:space="preserve">1,371</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45</w:t>
            </w:r>
          </w:p>
        </w:tc>
      </w:tr>
      <w:tr>
        <w:trPr>
          <w:cantSplit w:val="true"/>
        </w:trPr>
        <w:tc>
          <w:tcPr>
            <w:vAlign w:val="top"/>
          </w:tcPr>
          <w:p>
            <w:pPr>
              <w:spacing w:beforeAutospacing="true" w:afterAutospacing="true"/>
              <w:jc w:val="left"/>
            </w:pPr>
            <w:r>
              <w:rPr>
                <w:rFonts w:ascii="Calibri" w:hAnsi="Calibri"/>
                <w:color w:val="000000"/>
                <w:sz w:val="22"/>
              </w:rPr>
              <w:t xml:space="preserve">Unaccompanied Child</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top"/>
          </w:tcPr>
          <w:p>
            <w:pPr>
              <w:spacing w:beforeAutospacing="true" w:afterAutospacing="true"/>
              <w:jc w:val="left"/>
            </w:pPr>
            <w:r>
              <w:rPr>
                <w:rFonts w:ascii="Calibri" w:hAnsi="Calibri"/>
                <w:color w:val="000000"/>
                <w:sz w:val="22"/>
              </w:rPr>
              <w:t xml:space="preserve">Persons with HIV</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r>
    </w:tbl>
    <w:p>
      <w:pPr>
        <w:pStyle w:val="Caption"/>
        <w:jc w:val="center"/>
        <w:rPr>
          <w:rFonts w:asciiTheme="minorHAnsi" w:hAnsiTheme="minorHAnsi"/>
        </w:rPr>
      </w:pPr>
      <w:r>
        <w:rPr>
          <w:rFonts w:asciiTheme="minorHAnsi" w:hAnsiTheme="minorHAnsi"/>
        </w:rPr>
        <w:t xml:space="preserve">Table </w:t>
        <w:fldChar w:fldCharType="begin"/>
        <w:instrText xml:space="preserve"> SEQ Table \* ARABIC </w:instrText>
        <w:fldChar w:fldCharType="separate"/>
        <w:t>5</w:t>
        <w:fldChar w:fldCharType="end"/>
        <w:t xml:space="preserve">- Homeless Needs Assessment </w:t>
      </w:r>
      <w:r>
        <w:rPr>
          <w:b w:val="false"/>
        </w:rPr>
      </w:r>
    </w:p>
    <w:tbl>
      <w:tblPr>
        <w:tblW w:w="5000" w:type="pct"/>
        <w:tblInd w:w="115" w:type="dxa"/>
        <w:tblCellMar>
          <w:left w:w="115" w:type="dxa"/>
          <w:right w:w="115" w:type="dxa"/>
        </w:tblCellMar>
        <w:tblLook w:firstRow="1" w:lastRow="1" w:firstColumn="1" w:lastColumn="1" w:noHBand="0" w:noVBand="0" w:val="01E0"/>
      </w:tblPr>
      <w:tblGrid>
        <w:gridCol w:w="1485"/>
        <w:gridCol w:w="11705"/>
      </w:tblGrid>
    </w:tbl>
    <w:p>
      <w:pPr>
        <w:keepNext/>
        <w:widowControl w:val="false"/>
        <w:spacing w:after="0" w:line="240" w:lineRule="auto"/>
        <w:jc w:val="center"/>
        <w:rPr>
          <w:b/>
          <w:bCs/>
          <w:vanish/>
          <w:sz w:val="20"/>
          <w:szCs w:val="20"/>
        </w:rPr>
      </w:pPr>
    </w:p>
    <w:p>
      <w:pPr>
        <w:spacing w:after="0" w:line="240" w:lineRule="auto"/>
        <w:rPr>
          <w:b/>
          <w:bCs/>
          <w:vanish/>
          <w:sz w:val="16"/>
          <w:szCs w:val="16"/>
        </w:rPr>
      </w:pPr>
    </w:p>
    <w:tbl>
      <w:tblPr>
        <w:tblW w:w="5000" w:type="pct"/>
        <w:tblInd w:w="115" w:type="dxa"/>
        <w:tblCellMar>
          <w:left w:w="115" w:type="dxa"/>
          <w:right w:w="115" w:type="dxa"/>
        </w:tblCellMar>
        <w:tblLook w:firstRow="1" w:lastRow="1" w:firstColumn="1" w:lastColumn="1" w:noHBand="0" w:noVBand="0" w:val="01E0"/>
      </w:tblPr>
      <w:tblGrid>
        <w:gridCol w:w="1980"/>
        <w:gridCol w:w="11210"/>
      </w:tblGrid>
      <w:tr>
        <w:trPr>
          <w:cantSplit/>
        </w:trPr>
        <w:tc>
          <w:tcPr>
            <w:tcW w:w="13190" w:type="dxa"/>
            <w:gridSpan w:val="2"/>
            <w:vAlign w:val="bottom"/>
          </w:tcPr>
          <w:p>
            <w:pPr>
              <w:spacing w:after="0" w:line="240" w:lineRule="auto"/>
              <w:rPr>
                <w:sz w:val="16"/>
                <w:szCs w:val="16"/>
              </w:rPr>
            </w:pPr>
            <w:r>
              <w:rPr>
                <w:sz w:val="16"/>
                <w:szCs w:val="16"/>
              </w:rPr>
            </w:r>
          </w:p>
        </w:tc>
      </w:tr>
      <w:tr>
        <w:trPr>
          <w:cantSplit/>
        </w:trPr>
        <w:tc>
          <w:tcPr>
            <w:tcW w:w="1980" w:type="dxa"/>
            <w:vAlign w:val="bottom"/>
          </w:tcPr>
          <w:p>
            <w:pPr>
              <w:spacing w:after="0" w:line="240" w:lineRule="auto"/>
              <w:rPr>
                <w:sz w:val="16"/>
                <w:szCs w:val="16"/>
              </w:rPr>
            </w:pPr>
            <w:r>
              <w:rPr>
                <w:b/>
                <w:bCs/>
                <w:sz w:val="16"/>
                <w:szCs w:val="16"/>
              </w:rPr>
              <w:t>Data Source Comments:</w:t>
            </w:r>
            <w:r>
              <w:t xml:space="preserve"> </w:t>
            </w:r>
          </w:p>
        </w:tc>
        <w:tc>
          <w:tcPr>
            <w:tcW w:w="11210" w:type="dxa"/>
            <w:vAlign w:val="bottom"/>
          </w:tcPr>
          <w:p>
            <w:pPr>
              <w:spacing w:after="0" w:line="240" w:lineRule="auto"/>
              <w:rPr>
                <w:sz w:val="16"/>
                <w:szCs w:val="16"/>
              </w:rPr>
            </w:pPr>
            <w:r>
              <w:rPr>
                <w:sz w:val="16"/>
                <w:szCs w:val="16"/>
              </w:rPr>
            </w:r>
          </w:p>
        </w:tc>
      </w:tr>
    </w:tbl>
    <w:p/>
    <w:tbl>
      <w:tblPr>
        <w:tblW w:w="5000" w:type="pct"/>
        <w:tblInd w:w="115" w:type="dxa"/>
        <w:tblCellMar>
          <w:left w:w="115" w:type="dxa"/>
          <w:right w:w="115" w:type="dxa"/>
        </w:tblCellMar>
        <w:tblLook w:firstRow="1" w:lastRow="1" w:firstColumn="1" w:lastColumn="1" w:noHBand="0" w:noVBand="0" w:val="01E0"/>
      </w:tblPr>
      <w:tblGrid>
        <w:gridCol w:w="3960"/>
        <w:gridCol w:w="9230"/>
      </w:tblGrid>
      <w:tr>
        <w:trPr>
          <w:cantSplit/>
        </w:trPr>
        <w:tc>
          <w:tcPr>
            <w:tcW w:w="13190" w:type="dxa"/>
            <w:gridSpan w:val="2"/>
          </w:tcPr>
          <w:p>
            <w:pPr>
              <w:spacing w:after="0" w:line="240" w:lineRule="auto"/>
              <w:rPr>
                <w:sz w:val="24"/>
                <w:szCs w:val="24"/>
              </w:rPr>
            </w:pPr>
            <w:r>
              <w:rPr>
                <w:sz w:val="24"/>
                <w:szCs w:val="24"/>
              </w:rPr>
            </w:r>
          </w:p>
        </w:tc>
      </w:tr>
      <w:tr>
        <w:trPr>
          <w:cantSplit/>
        </w:trPr>
        <w:tc>
          <w:tcPr>
            <w:tcW w:w="3960" w:type="dxa"/>
          </w:tcPr>
          <w:p>
            <w:pPr>
              <w:spacing w:after="0" w:line="240" w:lineRule="auto"/>
              <w:rPr>
                <w:sz w:val="24"/>
                <w:szCs w:val="24"/>
              </w:rPr>
            </w:pPr>
            <w:r>
              <w:rPr>
                <w:sz w:val="24"/>
                <w:szCs w:val="24"/>
              </w:rPr>
              <w:t>Indicate if the homeless population is:</w:t>
            </w:r>
          </w:p>
        </w:tc>
        <w:tc>
          <w:tcPr>
            <w:tcW w:w="9230" w:type="dxa"/>
          </w:tcPr>
          <w:p>
            <w:pPr>
              <w:spacing w:beforeAutospacing="true" w:afterAutospacing="true"/>
              <w:rPr>
                <w:sz w:val="24"/>
                <w:szCs w:val="24"/>
              </w:rPr>
            </w:pPr>
            <w:r>
              <w:rPr>
                <w:sz w:val="24"/>
                <w:szCs w:val="24"/>
              </w:rPr>
              <w:t xml:space="preserve">Has No Rural Homeless</w:t>
            </w:r>
          </w:p>
        </w:tc>
      </w:tr>
    </w:tbl>
    <w:p/>
    <w:tbl>
      <w:tblPr>
        <w:tblW w:w="5000" w:type="pct"/>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15" w:type="dxa"/>
          <w:right w:w="115" w:type="dxa"/>
        </w:tblCellMar>
        <w:tblLook w:firstRow="1" w:lastRow="1" w:firstColumn="1" w:lastColumn="1" w:noHBand="0" w:noVBand="0" w:val="01E0"/>
      </w:tblPr>
      <w:tblGrid>
        <w:gridCol w:w="1485"/>
        <w:gridCol w:w="1215"/>
        <w:gridCol w:w="1620"/>
        <w:gridCol w:w="1620"/>
        <w:gridCol w:w="1812"/>
        <w:gridCol w:w="1813"/>
        <w:gridCol w:w="1812"/>
        <w:gridCol w:w="1813"/>
      </w:tblGrid>
    </w:tbl>
    <w:p>
      <w:pPr>
        <w:keepNext/>
        <w:widowControl w:val="false"/>
        <w:spacing w:after="0" w:line="240" w:lineRule="auto"/>
        <w:jc w:val="center"/>
        <w:rPr>
          <w:b/>
          <w:bCs/>
          <w:vanish/>
          <w:sz w:val="20"/>
          <w:szCs w:val="20"/>
        </w:rPr>
      </w:pPr>
    </w:p>
    <w:p>
      <w:pPr>
        <w:spacing w:after="0" w:line="240" w:lineRule="auto"/>
        <w:rPr>
          <w:b/>
          <w:bCs/>
          <w:vanish/>
          <w:sz w:val="16"/>
          <w:szCs w:val="16"/>
        </w:rPr>
      </w:pPr>
    </w:p>
    <w:tbl>
      <w:tblPr>
        <w:tblW w:w="5000" w:type="pct"/>
        <w:tblInd w:w="115" w:type="dxa"/>
        <w:tblCellMar>
          <w:left w:w="115" w:type="dxa"/>
          <w:right w:w="115" w:type="dxa"/>
        </w:tblCellMar>
        <w:tblLook w:firstRow="1" w:lastRow="1" w:firstColumn="1" w:lastColumn="1" w:noHBand="0" w:noVBand="0" w:val="01E0"/>
      </w:tblPr>
      <w:tblGrid>
        <w:gridCol w:w="1980"/>
        <w:gridCol w:w="11210"/>
      </w:tblGrid>
    </w:tbl>
    <w:p/>
    <w:p>
      <w:pPr>
        <w:rPr>
          <w:b/>
          <w:sz w:val="24"/>
          <w:szCs w:val="24"/>
        </w:rPr>
      </w:pPr>
    </w:p>
    <w:tbl>
      <w:tblPr>
        <w:tblStyle w:val="TableGrid"/>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firstRow="1" w:lastRow="0" w:firstColumn="1" w:lastColumn="0" w:noHBand="0" w:noVBand="1" w:val="04A0"/>
      </w:tblPr>
      <w:tblGrid>
        <w:gridCol w:w="13075"/>
      </w:tblGrid>
    </w:tbl>
    <w:p>
      <w:pPr>
        <w:rPr>
          <w:b/>
          <w:i/>
          <w:sz w:val="24"/>
          <w:szCs w:val="24"/>
        </w:rPr>
      </w:pPr>
      <w:r>
        <w:rPr>
          <w:b/>
          <w:sz w:val="24"/>
          <w:szCs w:val="24"/>
        </w:rPr>
        <w:t>If data is not available for the categories "number of persons becoming and exiting homelessness each year," and "number of days that persons experience homelessness," describe these categories for each homeless population type (including chronically homeless individuals and families, families with children, veterans and their families, and unaccompanied youth):</w:t>
      </w:r>
      <w:r>
        <w:rPr>
          <w:b/>
          <w:i/>
          <w:sz w:val="24"/>
          <w:szCs w:val="24"/>
        </w:rPr>
      </w:r>
    </w:p>
    <w:p>
      <w:pPr>
        <w:rPr>
          <w:rFonts w:cs="Arial"/>
        </w:rPr>
      </w:pPr>
      <w:r>
        <w:t xml:space="preserve"> </w:t>
      </w:r>
    </w:p>
    <w:p>
      <w:pPr>
        <w:numPr>
          <w:ilvl w:val="0"/>
          <w:numId w:val="3"/>
        </w:numPr>
        <w:spacing w:beforeAutospacing="true" w:afterAutospacing="true"/>
        <w:rPr>
          <w:rFonts w:cs="Arial"/>
        </w:rPr>
      </w:pPr>
      <w:r>
        <w:rPr>
          <w:rFonts w:cs="Arial"/>
        </w:rPr>
        <w:t xml:space="preserve">Chronic: Salt Lake County has joined the Community Solutions Zero:2016 Campaign.  One of the Campaign goals is to end Chronic Homelessness by December 30, 2016.  “End” means there will be enough monthly capacity to house newly homeless veterans each month.  Those existing the system would be equal or greater than the number entering the system on an annual basis.</w:t>
      </w:r>
    </w:p>
    <w:p>
      <w:pPr>
        <w:numPr>
          <w:ilvl w:val="0"/>
          <w:numId w:val="3"/>
        </w:numPr>
        <w:spacing w:beforeAutospacing="true" w:afterAutospacing="true"/>
        <w:rPr>
          <w:rFonts w:cs="Arial"/>
        </w:rPr>
      </w:pPr>
      <w:r>
        <w:rPr>
          <w:rFonts w:cs="Arial"/>
        </w:rPr>
        <w:t xml:space="preserve">Families with Children:  Salt Lake County has adopted a Progressive Engagement Model for homeless families.  This involves an initial light touch approach with a large percentage of families resolving homelessness with little to no assistance within 15 days.  For those who remain, Rapid Rehousing Assistance is offered to varying degrees depending on the needs of the family.  Rapid Rehousing is a limited time assistance which allows a family to transition in place.  By utilizing Progressive Engagement in conjunction with Rapid Rehousing a greater number of families can be assisted.</w:t>
      </w:r>
    </w:p>
    <w:p>
      <w:pPr>
        <w:numPr>
          <w:ilvl w:val="0"/>
          <w:numId w:val="3"/>
        </w:numPr>
        <w:spacing w:beforeAutospacing="true" w:afterAutospacing="true"/>
        <w:rPr>
          <w:rFonts w:cs="Arial"/>
        </w:rPr>
      </w:pPr>
      <w:r>
        <w:rPr>
          <w:rFonts w:cs="Arial"/>
        </w:rPr>
        <w:t xml:space="preserve">Veterans: Salt Lake County has joined the Community Solutions Zero:2016 Campaign.  One of the Campaign goals is to end Veteran Homelessness by December 30, 2015.  “End” means there will be enough monthly capacity to house newly homeless veterans each month.  Those existing the system would be equal or greater than the number entering the system on an annual basis.</w:t>
      </w:r>
    </w:p>
    <w:p>
      <w:pPr>
        <w:numPr>
          <w:ilvl w:val="0"/>
          <w:numId w:val="3"/>
        </w:numPr>
        <w:spacing w:beforeAutospacing="true" w:afterAutospacing="true"/>
        <w:rPr>
          <w:rFonts w:cs="Arial"/>
        </w:rPr>
      </w:pPr>
      <w:r>
        <w:rPr>
          <w:rFonts w:cs="Arial"/>
        </w:rPr>
        <w:t xml:space="preserve">Unaccompanied Youth: An emergency shelter for homeless youth is being developed.  This will assist in a more accurate homeless youth count in the future.  In addition, two transitional housing programs have been developed for homeless youth.  Both are focused on self-sufficiency and helping homeless youth positively exit the homeless housing and services system.</w:t>
      </w:r>
    </w:p>
    <w:p>
      <w:pPr>
        <w:spacing w:beforeAutospacing="true" w:afterAutospacing="true"/>
        <w:rPr>
          <w:rFonts w:cs="Arial"/>
        </w:rPr>
      </w:pPr>
      <w:r>
        <w:rPr>
          <w:rFonts w:cs="Arial"/>
        </w:rPr>
        <w:t xml:space="preserve"> </w:t>
      </w:r>
    </w:p>
    <w:p>
      <w:pPr>
        <w:keepNext/>
        <w:widowControl w:val="false"/>
        <w:rPr>
          <w:b/>
          <w:sz w:val="24"/>
          <w:szCs w:val="24"/>
        </w:rPr>
      </w:pPr>
      <w:r>
        <w:rPr>
          <w:b/>
          <w:sz w:val="24"/>
          <w:szCs w:val="24"/>
        </w:rPr>
        <w:t>Nature and Extent of Homelessness: (Optional)</w:t>
      </w:r>
      <w:r>
        <w:rPr>
          <w:b/>
          <w:i/>
          <w:sz w:val="24"/>
          <w:szCs w:val="24"/>
        </w:rPr>
      </w:r>
    </w:p>
    <w:tbl>
      <w:tblPr>
        <w:tblStyle w:val="TableGrid"/>
        <w:tblW w:w="0" w:type="auto"/>
        <w:tblLook w:firstRow="1" w:lastRow="0" w:firstColumn="1" w:lastColumn="0" w:noHBand="0" w:noVBand="1" w:val="04A0"/>
      </w:tblPr>
      <w:tblGrid>
        <w:gridCol w:w="3009"/>
        <w:gridCol w:w="3195"/>
        <w:gridCol w:w="3271"/>
      </w:tblGrid>
      <w:tr>
        <w:trPr>
          <w:cantSplit/>
          <w:tblHeader/>
        </w:trPr>
        <w:tc>
          <w:tcPr>
            <w:tcW w:w="9475" w:type="dxa"/>
            <w:gridSpan w:val="3"/>
            <w:tcBorders>
              <w:top w:val="nil"/>
              <w:left w:val="nil"/>
              <w:bottom w:val="single" w:color="auto" w:sz="4" w:space="0"/>
              <w:right w:val="nil"/>
            </w:tcBorders>
          </w:tcPr>
          <w:p>
            <w:pPr>
              <w:keepNext/>
              <w:widowControl w:val="false"/>
              <w:rPr>
                <w:sz w:val="24"/>
                <w:szCs w:val="24"/>
              </w:rPr>
            </w:pPr>
            <w:r>
              <w:rPr>
                <w:i/>
                <w:sz w:val="24"/>
                <w:szCs w:val="24"/>
              </w:rPr>
            </w:r>
          </w:p>
        </w:tc>
      </w:tr>
      <w:tr>
        <w:trPr>
          <w:cantSplit/>
          <w:tblHeader/>
        </w:trPr>
        <w:tc>
          <w:tcPr>
            <w:tcW w:w="3009" w:type="dxa"/>
            <w:tcBorders>
              <w:top w:val="single" w:color="auto" w:sz="4" w:space="0"/>
            </w:tcBorders>
          </w:tcPr>
          <w:p>
            <w:pPr>
              <w:keepNext/>
              <w:widowControl w:val="false"/>
              <w:rPr>
                <w:b/>
                <w:sz w:val="24"/>
                <w:szCs w:val="24"/>
              </w:rPr>
            </w:pPr>
            <w:r>
              <w:rPr>
                <w:b/>
                <w:sz w:val="24"/>
                <w:szCs w:val="24"/>
              </w:rPr>
              <w:t>Race:</w:t>
            </w:r>
          </w:p>
        </w:tc>
        <w:tc>
          <w:tcPr>
            <w:tcW w:w="3195" w:type="dxa"/>
            <w:tcBorders>
              <w:top w:val="single" w:color="auto" w:sz="4" w:space="0"/>
            </w:tcBorders>
          </w:tcPr>
          <w:p>
            <w:pPr>
              <w:keepNext/>
              <w:widowControl w:val="false"/>
              <w:rPr>
                <w:b/>
                <w:sz w:val="24"/>
                <w:szCs w:val="24"/>
              </w:rPr>
            </w:pPr>
            <w:r>
              <w:rPr>
                <w:b/>
                <w:sz w:val="24"/>
                <w:szCs w:val="24"/>
              </w:rPr>
              <w:t>Sheltered:</w:t>
            </w:r>
          </w:p>
        </w:tc>
        <w:tc>
          <w:tcPr>
            <w:tcW w:w="3271" w:type="dxa"/>
            <w:tcBorders>
              <w:top w:val="single" w:color="auto" w:sz="4" w:space="0"/>
            </w:tcBorders>
          </w:tcPr>
          <w:p>
            <w:pPr>
              <w:keepNext/>
              <w:widowControl w:val="false"/>
              <w:rPr>
                <w:b/>
                <w:sz w:val="24"/>
                <w:szCs w:val="24"/>
              </w:rPr>
            </w:pPr>
            <w:r>
              <w:rPr>
                <w:b/>
                <w:sz w:val="24"/>
                <w:szCs w:val="24"/>
              </w:rPr>
              <w:t>Unsheltered (optional)</w:t>
            </w:r>
          </w:p>
        </w:tc>
      </w:tr>
      <w:tr>
        <w:trPr>
          <w:cantSplit w:val="true"/>
        </w:trPr>
        <w:tc>
          <w:tcPr>
            <w:vAlign w:val="top"/>
          </w:tcPr>
          <w:p>
            <w:pPr>
              <w:spacing w:beforeAutospacing="true" w:afterAutospacing="true"/>
              <w:jc w:val="left"/>
            </w:pPr>
            <w:r>
              <w:rPr>
                <w:rFonts w:ascii="Calibri" w:hAnsi="Calibri"/>
                <w:color w:val="000000"/>
                <w:sz w:val="22"/>
              </w:rPr>
              <w:t xml:space="preserve">White</w:t>
            </w:r>
          </w:p>
        </w:tc>
        <w:tc>
          <w:tcPr>
            <w:vAlign w:val="bottom"/>
          </w:tcPr>
          <w:p>
            <w:pPr>
              <w:spacing w:beforeAutospacing="true" w:afterAutospacing="true"/>
              <w:jc w:val="right"/>
            </w:pPr>
            <w:r>
              <w:rPr>
                <w:rFonts w:ascii="Calibri" w:hAnsi="Calibri"/>
                <w:color w:val="000000"/>
                <w:sz w:val="22"/>
              </w:rPr>
              <w:t xml:space="preserve">1,569</w:t>
            </w:r>
          </w:p>
        </w:tc>
        <w:tc>
          <w:tcPr>
            <w:vAlign w:val="bottom"/>
          </w:tcPr>
          <w:p>
            <w:pPr>
              <w:spacing w:beforeAutospacing="true" w:afterAutospacing="true"/>
              <w:jc w:val="right"/>
            </w:pPr>
            <w:r>
              <w:rPr>
                <w:rFonts w:ascii="Calibri" w:hAnsi="Calibri"/>
                <w:color w:val="000000"/>
                <w:sz w:val="22"/>
              </w:rPr>
              <w:t xml:space="preserve">72</w:t>
            </w:r>
          </w:p>
        </w:tc>
      </w:tr>
      <w:tr>
        <w:trPr>
          <w:cantSplit w:val="true"/>
        </w:trPr>
        <w:tc>
          <w:tcPr>
            <w:vAlign w:val="top"/>
          </w:tcPr>
          <w:p>
            <w:pPr>
              <w:spacing w:beforeAutospacing="true" w:afterAutospacing="true"/>
              <w:jc w:val="left"/>
            </w:pPr>
            <w:r>
              <w:rPr>
                <w:rFonts w:ascii="Calibri" w:hAnsi="Calibri"/>
                <w:color w:val="000000"/>
                <w:sz w:val="22"/>
              </w:rPr>
              <w:t xml:space="preserve">Black or African American</w:t>
            </w:r>
          </w:p>
        </w:tc>
        <w:tc>
          <w:tcPr>
            <w:vAlign w:val="bottom"/>
          </w:tcPr>
          <w:p>
            <w:pPr>
              <w:spacing w:beforeAutospacing="true" w:afterAutospacing="true"/>
              <w:jc w:val="right"/>
            </w:pPr>
            <w:r>
              <w:rPr>
                <w:rFonts w:ascii="Calibri" w:hAnsi="Calibri"/>
                <w:color w:val="000000"/>
                <w:sz w:val="22"/>
              </w:rPr>
              <w:t xml:space="preserve">237</w:t>
            </w:r>
          </w:p>
        </w:tc>
        <w:tc>
          <w:tcPr>
            <w:vAlign w:val="bottom"/>
          </w:tcPr>
          <w:p>
            <w:pPr>
              <w:spacing w:beforeAutospacing="true" w:afterAutospacing="true"/>
              <w:jc w:val="right"/>
            </w:pPr>
            <w:r>
              <w:rPr>
                <w:rFonts w:ascii="Calibri" w:hAnsi="Calibri"/>
                <w:color w:val="000000"/>
                <w:sz w:val="22"/>
              </w:rPr>
              <w:t xml:space="preserve">5</w:t>
            </w:r>
          </w:p>
        </w:tc>
      </w:tr>
      <w:tr>
        <w:trPr>
          <w:cantSplit w:val="true"/>
        </w:trPr>
        <w:tc>
          <w:tcPr>
            <w:vAlign w:val="top"/>
          </w:tcPr>
          <w:p>
            <w:pPr>
              <w:spacing w:beforeAutospacing="true" w:afterAutospacing="true"/>
              <w:jc w:val="left"/>
            </w:pPr>
            <w:r>
              <w:rPr>
                <w:rFonts w:ascii="Calibri" w:hAnsi="Calibri"/>
                <w:color w:val="000000"/>
                <w:sz w:val="22"/>
              </w:rPr>
              <w:t xml:space="preserve">Asian</w:t>
            </w:r>
          </w:p>
        </w:tc>
        <w:tc>
          <w:tcPr>
            <w:vAlign w:val="bottom"/>
          </w:tcPr>
          <w:p>
            <w:pPr>
              <w:spacing w:beforeAutospacing="true" w:afterAutospacing="true"/>
              <w:jc w:val="right"/>
            </w:pPr>
            <w:r>
              <w:rPr>
                <w:rFonts w:ascii="Calibri" w:hAnsi="Calibri"/>
                <w:color w:val="000000"/>
                <w:sz w:val="22"/>
              </w:rPr>
              <w:t xml:space="preserve">30</w:t>
            </w:r>
          </w:p>
        </w:tc>
        <w:tc>
          <w:tcPr>
            <w:vAlign w:val="bottom"/>
          </w:tcPr>
          <w:p>
            <w:pPr>
              <w:spacing w:beforeAutospacing="true" w:afterAutospacing="true"/>
              <w:jc w:val="right"/>
            </w:pPr>
            <w:r>
              <w:rPr>
                <w:rFonts w:ascii="Calibri" w:hAnsi="Calibri"/>
                <w:color w:val="000000"/>
                <w:sz w:val="22"/>
              </w:rPr>
              <w:t xml:space="preserve">1</w:t>
            </w:r>
          </w:p>
        </w:tc>
      </w:tr>
      <w:tr>
        <w:trPr>
          <w:cantSplit w:val="true"/>
        </w:trPr>
        <w:tc>
          <w:tcPr>
            <w:vAlign w:val="top"/>
          </w:tcPr>
          <w:p>
            <w:pPr>
              <w:spacing w:beforeAutospacing="true" w:afterAutospacing="true"/>
              <w:jc w:val="left"/>
            </w:pPr>
            <w:r>
              <w:rPr>
                <w:rFonts w:ascii="Calibri" w:hAnsi="Calibri"/>
                <w:color w:val="000000"/>
                <w:sz w:val="22"/>
              </w:rPr>
              <w:t xml:space="preserve">American Indian or Alaska Native</w:t>
            </w:r>
          </w:p>
        </w:tc>
        <w:tc>
          <w:tcPr>
            <w:vAlign w:val="bottom"/>
          </w:tcPr>
          <w:p>
            <w:pPr>
              <w:spacing w:beforeAutospacing="true" w:afterAutospacing="true"/>
              <w:jc w:val="right"/>
            </w:pPr>
            <w:r>
              <w:rPr>
                <w:rFonts w:ascii="Calibri" w:hAnsi="Calibri"/>
                <w:color w:val="000000"/>
                <w:sz w:val="22"/>
              </w:rPr>
              <w:t xml:space="preserve">83</w:t>
            </w:r>
          </w:p>
        </w:tc>
        <w:tc>
          <w:tcPr>
            <w:vAlign w:val="bottom"/>
          </w:tcPr>
          <w:p>
            <w:pPr>
              <w:spacing w:beforeAutospacing="true" w:afterAutospacing="true"/>
              <w:jc w:val="right"/>
            </w:pPr>
            <w:r>
              <w:rPr>
                <w:rFonts w:ascii="Calibri" w:hAnsi="Calibri"/>
                <w:color w:val="000000"/>
                <w:sz w:val="22"/>
              </w:rPr>
              <w:t xml:space="preserve">7</w:t>
            </w:r>
          </w:p>
        </w:tc>
      </w:tr>
      <w:tr>
        <w:trPr>
          <w:cantSplit w:val="true"/>
        </w:trPr>
        <w:tc>
          <w:tcPr>
            <w:vAlign w:val="top"/>
          </w:tcPr>
          <w:p>
            <w:pPr>
              <w:spacing w:beforeAutospacing="true" w:afterAutospacing="true"/>
              <w:jc w:val="left"/>
            </w:pPr>
            <w:r>
              <w:rPr>
                <w:rFonts w:ascii="Calibri" w:hAnsi="Calibri"/>
                <w:color w:val="000000"/>
                <w:sz w:val="22"/>
              </w:rPr>
              <w:t xml:space="preserve">Pacific Islander</w:t>
            </w:r>
          </w:p>
        </w:tc>
        <w:tc>
          <w:tcPr>
            <w:vAlign w:val="bottom"/>
          </w:tcPr>
          <w:p>
            <w:pPr>
              <w:spacing w:beforeAutospacing="true" w:afterAutospacing="true"/>
              <w:jc w:val="right"/>
            </w:pPr>
            <w:r>
              <w:rPr>
                <w:rFonts w:ascii="Calibri" w:hAnsi="Calibri"/>
                <w:color w:val="000000"/>
                <w:sz w:val="22"/>
              </w:rPr>
              <w:t xml:space="preserve">167</w:t>
            </w:r>
          </w:p>
        </w:tc>
        <w:tc>
          <w:tcPr>
            <w:vAlign w:val="bottom"/>
          </w:tcPr>
          <w:p>
            <w:pPr>
              <w:spacing w:beforeAutospacing="true" w:afterAutospacing="true"/>
              <w:jc w:val="right"/>
            </w:pPr>
            <w:r>
              <w:rPr>
                <w:rFonts w:ascii="Calibri" w:hAnsi="Calibri"/>
                <w:color w:val="000000"/>
                <w:sz w:val="22"/>
              </w:rPr>
              <w:t xml:space="preserve">5</w:t>
            </w:r>
          </w:p>
        </w:tc>
      </w:tr>
      <w:tr>
        <w:trPr>
          <w:cantSplit/>
          <w:tblHeader/>
        </w:trPr>
        <w:tc>
          <w:tcPr>
            <w:tcW w:w="3009" w:type="dxa"/>
          </w:tcPr>
          <w:p>
            <w:pPr>
              <w:keepNext/>
              <w:widowControl w:val="false"/>
              <w:rPr>
                <w:b/>
                <w:sz w:val="24"/>
                <w:szCs w:val="24"/>
              </w:rPr>
            </w:pPr>
            <w:r>
              <w:rPr>
                <w:b/>
                <w:sz w:val="24"/>
                <w:szCs w:val="24"/>
              </w:rPr>
              <w:t>Ethnicity:</w:t>
            </w:r>
          </w:p>
        </w:tc>
        <w:tc>
          <w:tcPr>
            <w:tcW w:w="3195" w:type="dxa"/>
          </w:tcPr>
          <w:p>
            <w:pPr>
              <w:keepNext/>
              <w:widowControl w:val="false"/>
              <w:rPr>
                <w:b/>
                <w:sz w:val="24"/>
                <w:szCs w:val="24"/>
              </w:rPr>
            </w:pPr>
            <w:r>
              <w:rPr>
                <w:b/>
                <w:sz w:val="24"/>
                <w:szCs w:val="24"/>
              </w:rPr>
              <w:t>Sheltered:</w:t>
            </w:r>
          </w:p>
        </w:tc>
        <w:tc>
          <w:tcPr>
            <w:tcW w:w="3271" w:type="dxa"/>
          </w:tcPr>
          <w:p>
            <w:pPr>
              <w:keepNext/>
              <w:widowControl w:val="false"/>
              <w:rPr>
                <w:b/>
                <w:sz w:val="24"/>
                <w:szCs w:val="24"/>
              </w:rPr>
            </w:pPr>
            <w:r>
              <w:rPr>
                <w:b/>
                <w:sz w:val="24"/>
                <w:szCs w:val="24"/>
              </w:rPr>
              <w:t>Unsheltered (optional)</w:t>
            </w:r>
          </w:p>
        </w:tc>
      </w:tr>
      <w:tr>
        <w:trPr>
          <w:cantSplit w:val="true"/>
        </w:trPr>
        <w:tc>
          <w:tcPr>
            <w:vAlign w:val="top"/>
          </w:tcPr>
          <w:p>
            <w:pPr>
              <w:spacing w:beforeAutospacing="true" w:afterAutospacing="true"/>
              <w:jc w:val="left"/>
            </w:pPr>
            <w:r>
              <w:rPr>
                <w:rFonts w:ascii="Calibri" w:hAnsi="Calibri"/>
                <w:color w:val="000000"/>
                <w:sz w:val="22"/>
              </w:rPr>
              <w:t xml:space="preserve">Hispanic</w:t>
            </w:r>
          </w:p>
        </w:tc>
        <w:tc>
          <w:tcPr>
            <w:vAlign w:val="bottom"/>
          </w:tcPr>
          <w:p>
            <w:pPr>
              <w:spacing w:beforeAutospacing="true" w:afterAutospacing="true"/>
              <w:jc w:val="right"/>
            </w:pPr>
            <w:r>
              <w:rPr>
                <w:rFonts w:ascii="Calibri" w:hAnsi="Calibri"/>
                <w:color w:val="000000"/>
                <w:sz w:val="22"/>
              </w:rPr>
              <w:t xml:space="preserve">1,575</w:t>
            </w:r>
          </w:p>
        </w:tc>
        <w:tc>
          <w:tcPr>
            <w:vAlign w:val="bottom"/>
          </w:tcPr>
          <w:p>
            <w:pPr>
              <w:spacing w:beforeAutospacing="true" w:afterAutospacing="true"/>
              <w:jc w:val="right"/>
            </w:pPr>
            <w:r>
              <w:rPr>
                <w:rFonts w:ascii="Calibri" w:hAnsi="Calibri"/>
                <w:color w:val="000000"/>
                <w:sz w:val="22"/>
              </w:rPr>
              <w:t xml:space="preserve">75</w:t>
            </w:r>
          </w:p>
        </w:tc>
      </w:tr>
      <w:tr>
        <w:trPr>
          <w:cantSplit w:val="true"/>
        </w:trPr>
        <w:tc>
          <w:tcPr>
            <w:vAlign w:val="top"/>
          </w:tcPr>
          <w:p>
            <w:pPr>
              <w:spacing w:beforeAutospacing="true" w:afterAutospacing="true"/>
              <w:jc w:val="left"/>
            </w:pPr>
            <w:r>
              <w:rPr>
                <w:rFonts w:ascii="Calibri" w:hAnsi="Calibri"/>
                <w:color w:val="000000"/>
                <w:sz w:val="22"/>
              </w:rPr>
              <w:t xml:space="preserve">Not Hispanic</w:t>
            </w:r>
          </w:p>
        </w:tc>
        <w:tc>
          <w:tcPr>
            <w:vAlign w:val="bottom"/>
          </w:tcPr>
          <w:p>
            <w:pPr>
              <w:spacing w:beforeAutospacing="true" w:afterAutospacing="true"/>
              <w:jc w:val="right"/>
            </w:pPr>
            <w:r>
              <w:rPr>
                <w:rFonts w:ascii="Calibri" w:hAnsi="Calibri"/>
                <w:color w:val="000000"/>
                <w:sz w:val="22"/>
              </w:rPr>
              <w:t xml:space="preserve">511</w:t>
            </w:r>
          </w:p>
        </w:tc>
        <w:tc>
          <w:tcPr>
            <w:vAlign w:val="bottom"/>
          </w:tcPr>
          <w:p>
            <w:pPr>
              <w:spacing w:beforeAutospacing="true" w:afterAutospacing="true"/>
              <w:jc w:val="right"/>
            </w:pPr>
            <w:r>
              <w:rPr>
                <w:rFonts w:ascii="Calibri" w:hAnsi="Calibri"/>
                <w:color w:val="000000"/>
                <w:sz w:val="22"/>
              </w:rPr>
              <w:t xml:space="preserve">15</w:t>
            </w:r>
          </w:p>
        </w:tc>
      </w:tr>
    </w:tbl>
    <w:tbl>
      <w:tblPr>
        <w:tblW w:w="6877" w:type="pct"/>
        <w:tblInd w:w="115" w:type="dxa"/>
        <w:tblCellMar>
          <w:left w:w="115" w:type="dxa"/>
          <w:right w:w="115" w:type="dxa"/>
        </w:tblCellMar>
        <w:tblLook w:firstRow="1" w:lastRow="1" w:firstColumn="1" w:lastColumn="1" w:noHBand="0" w:noVBand="0" w:val="01E0"/>
      </w:tblPr>
      <w:tblGrid>
        <w:gridCol w:w="2043"/>
        <w:gridCol w:w="16099"/>
      </w:tblGrid>
    </w:tbl>
    <w:p>
      <w:pPr>
        <w:keepNext/>
        <w:widowControl w:val="false"/>
        <w:spacing w:after="0" w:line="240" w:lineRule="auto"/>
        <w:jc w:val="center"/>
        <w:rPr>
          <w:b/>
          <w:bCs/>
          <w:vanish/>
          <w:sz w:val="20"/>
          <w:szCs w:val="20"/>
        </w:rPr>
      </w:pPr>
    </w:p>
    <w:p>
      <w:pPr>
        <w:spacing w:after="0" w:line="240" w:lineRule="auto"/>
        <w:rPr>
          <w:b/>
          <w:bCs/>
          <w:vanish/>
          <w:sz w:val="16"/>
          <w:szCs w:val="16"/>
        </w:rPr>
      </w:pPr>
    </w:p>
    <w:tbl>
      <w:tblPr>
        <w:tblW w:w="5000" w:type="pct"/>
        <w:tblInd w:w="115" w:type="dxa"/>
        <w:tblCellMar>
          <w:left w:w="115" w:type="dxa"/>
          <w:right w:w="115" w:type="dxa"/>
        </w:tblCellMar>
        <w:tblLook w:firstRow="1" w:lastRow="1" w:firstColumn="1" w:lastColumn="1" w:noHBand="0" w:noVBand="0" w:val="01E0"/>
      </w:tblPr>
      <w:tblGrid>
        <w:gridCol w:w="1980"/>
        <w:gridCol w:w="11210"/>
      </w:tblGrid>
      <w:tr>
        <w:trPr>
          <w:cantSplit/>
        </w:trPr>
        <w:tc>
          <w:tcPr>
            <w:tcW w:w="13190" w:type="dxa"/>
            <w:gridSpan w:val="2"/>
            <w:vAlign w:val="bottom"/>
          </w:tcPr>
          <w:p>
            <w:pPr>
              <w:spacing w:after="0" w:line="240" w:lineRule="auto"/>
              <w:rPr>
                <w:sz w:val="16"/>
                <w:szCs w:val="16"/>
              </w:rPr>
            </w:pPr>
            <w:r>
              <w:rPr>
                <w:sz w:val="16"/>
                <w:szCs w:val="16"/>
              </w:rPr>
            </w:r>
          </w:p>
        </w:tc>
      </w:tr>
      <w:tr>
        <w:trPr>
          <w:cantSplit/>
        </w:trPr>
        <w:tc>
          <w:tcPr>
            <w:tcW w:w="1980" w:type="dxa"/>
            <w:vAlign w:val="bottom"/>
          </w:tcPr>
          <w:p>
            <w:pPr>
              <w:spacing w:after="0" w:line="240" w:lineRule="auto"/>
              <w:rPr>
                <w:sz w:val="16"/>
                <w:szCs w:val="16"/>
              </w:rPr>
            </w:pPr>
            <w:r>
              <w:rPr>
                <w:b/>
                <w:bCs/>
                <w:sz w:val="16"/>
                <w:szCs w:val="16"/>
              </w:rPr>
              <w:t>Data Source Comments:</w:t>
            </w:r>
          </w:p>
        </w:tc>
        <w:tc>
          <w:tcPr>
            <w:tcW w:w="11210" w:type="dxa"/>
            <w:vAlign w:val="bottom"/>
          </w:tcPr>
          <w:p>
            <w:pPr>
              <w:spacing w:after="0" w:line="240" w:lineRule="auto"/>
              <w:rPr>
                <w:sz w:val="16"/>
                <w:szCs w:val="16"/>
              </w:rPr>
            </w:pPr>
            <w:r>
              <w:rPr>
                <w:sz w:val="16"/>
                <w:szCs w:val="16"/>
              </w:rPr>
            </w:r>
          </w:p>
        </w:tc>
      </w:tr>
    </w:tbl>
    <w:p/>
    <w:p>
      <w:pPr>
        <w:rPr>
          <w:b/>
          <w:sz w:val="24"/>
          <w:szCs w:val="24"/>
        </w:rPr>
      </w:pPr>
      <w:r>
        <w:rPr>
          <w:b/>
          <w:sz w:val="24"/>
          <w:szCs w:val="24"/>
        </w:rPr>
        <w:t>Estimate the number and type of families in need of housing assistance for families with children and the families of veterans.</w:t>
      </w:r>
      <w:r>
        <w:rPr>
          <w:b/>
          <w:i/>
          <w:sz w:val="24"/>
          <w:szCs w:val="24"/>
        </w:rPr>
      </w:r>
    </w:p>
    <w:p>
      <w:pPr>
        <w:spacing w:beforeAutospacing="true" w:afterAutospacing="true"/>
        <w:rPr>
          <w:rFonts w:cs="Arial"/>
        </w:rPr>
      </w:pPr>
      <w:r>
        <w:rPr>
          <w:rFonts w:cs="Arial"/>
        </w:rPr>
        <w:t xml:space="preserve">On the night of the 2019 Point-in-Time Count reported in the HUD HDX system:</w:t>
      </w:r>
    </w:p>
    <w:p>
      <w:pPr>
        <w:spacing w:beforeAutospacing="true" w:afterAutospacing="true"/>
        <w:rPr>
          <w:rFonts w:cs="Arial"/>
        </w:rPr>
      </w:pPr>
    </w:p>
    <w:p>
      <w:pPr>
        <w:numPr>
          <w:ilvl w:val="0"/>
          <w:numId w:val="3"/>
        </w:numPr>
        <w:spacing w:beforeAutospacing="true" w:afterAutospacing="true"/>
        <w:rPr>
          <w:rFonts w:cs="Arial"/>
        </w:rPr>
      </w:pPr>
      <w:r>
        <w:rPr>
          <w:rFonts w:cs="Arial"/>
        </w:rPr>
        <w:t xml:space="preserve">there were 153 households with at least one adult and one child counted as homeless</w:t>
      </w:r>
    </w:p>
    <w:p>
      <w:pPr>
        <w:numPr>
          <w:ilvl w:val="0"/>
          <w:numId w:val="3"/>
        </w:numPr>
        <w:spacing w:beforeAutospacing="true" w:afterAutospacing="true"/>
        <w:rPr>
          <w:rFonts w:cs="Arial"/>
        </w:rPr>
      </w:pPr>
      <w:r>
        <w:rPr>
          <w:rFonts w:cs="Arial"/>
        </w:rPr>
        <w:t xml:space="preserve">there were 3 veteran households with at least one adult and one child counted as homeless</w:t>
      </w:r>
    </w:p>
    <w:p>
      <w:pPr>
        <w:spacing w:beforeAutospacing="true" w:afterAutospacing="true"/>
        <w:rPr>
          <w:rFonts w:cs="Arial"/>
        </w:rPr>
      </w:pPr>
    </w:p>
    <w:p>
      <w:pPr>
        <w:rPr>
          <w:b/>
          <w:i/>
          <w:sz w:val="24"/>
          <w:szCs w:val="24"/>
        </w:rPr>
      </w:pPr>
      <w:r>
        <w:rPr>
          <w:b/>
          <w:sz w:val="24"/>
          <w:szCs w:val="24"/>
        </w:rPr>
        <w:t>Describe the Nature and Extent of Homelessness by Racial and Ethnic Group</w:t>
      </w:r>
      <w:r>
        <w:rPr>
          <w:b/>
          <w:i/>
          <w:sz w:val="24"/>
          <w:szCs w:val="24"/>
        </w:rPr>
      </w:r>
    </w:p>
    <w:p>
      <w:pPr>
        <w:rPr>
          <w:rFonts w:cs="Arial"/>
        </w:rPr>
      </w:pPr>
      <w:r>
        <w:t xml:space="preserve"> </w:t>
      </w:r>
    </w:p>
    <w:p>
      <w:pPr>
        <w:spacing w:beforeAutospacing="true" w:afterAutospacing="true"/>
        <w:rPr>
          <w:rFonts w:cs="Arial"/>
        </w:rPr>
      </w:pPr>
      <w:r>
        <w:rPr>
          <w:rFonts w:cs="Arial"/>
        </w:rPr>
        <w:t xml:space="preserve">The following data is from an analysis of racial and ethnic data for clients enrolled Salt Lake CoC projects in HMIS from 7/1/2018 to 6/30/2019.</w:t>
      </w:r>
    </w:p>
    <w:p>
      <w:pPr>
        <w:spacing w:beforeAutospacing="true" w:afterAutospacing="true"/>
        <w:rPr>
          <w:rFonts w:cs="Arial"/>
        </w:rPr>
      </w:pPr>
      <w:r>
        <w:rPr>
          <w:rFonts w:cs="Arial"/>
        </w:rPr>
        <w:t xml:space="preserve">The majority of racial and ethnic minorities make up a disproportionately high percentage of those receiving services when compared to Salt Lake County July 1, 2018 US Census Projections</w:t>
      </w:r>
    </w:p>
    <w:p>
      <w:pPr>
        <w:spacing w:beforeAutospacing="true" w:afterAutospacing="true"/>
        <w:rPr>
          <w:rFonts w:cs="Arial"/>
        </w:rPr>
      </w:pPr>
      <w:r>
        <w:rPr>
          <w:rFonts w:cs="Arial"/>
        </w:rPr>
        <w:t xml:space="preserve"> </w:t>
      </w:r>
    </w:p>
    <w:p>
      <w:pPr>
        <w:numPr>
          <w:ilvl w:val="0"/>
          <w:numId w:val="3"/>
        </w:numPr>
        <w:spacing w:beforeAutospacing="true" w:afterAutospacing="true"/>
        <w:rPr>
          <w:rFonts w:cs="Arial"/>
        </w:rPr>
      </w:pPr>
      <w:r>
        <w:rPr>
          <w:rFonts w:cs="Arial"/>
        </w:rPr>
        <w:t xml:space="preserve">Black or African American individuals make up 13.1% of those receiving homeless services, but only 2.2% of the total population. This population is nearly 6 times larger than we would expect based on the county’s demographics.</w:t>
      </w:r>
    </w:p>
    <w:p>
      <w:pPr>
        <w:numPr>
          <w:ilvl w:val="0"/>
          <w:numId w:val="3"/>
        </w:numPr>
        <w:spacing w:beforeAutospacing="true" w:afterAutospacing="true"/>
        <w:rPr>
          <w:rFonts w:cs="Arial"/>
        </w:rPr>
      </w:pPr>
      <w:r>
        <w:rPr>
          <w:rFonts w:cs="Arial"/>
        </w:rPr>
        <w:t xml:space="preserve">American Indian or Alaska Native individuals make up 5.2% of those receiving homeless services, but only 1.4% of the total population. This population is 3.7 times larger than we would expect based on the county’s demographics.</w:t>
      </w:r>
    </w:p>
    <w:p>
      <w:pPr>
        <w:numPr>
          <w:ilvl w:val="0"/>
          <w:numId w:val="3"/>
        </w:numPr>
        <w:spacing w:beforeAutospacing="true" w:afterAutospacing="true"/>
        <w:rPr>
          <w:rFonts w:cs="Arial"/>
        </w:rPr>
      </w:pPr>
      <w:r>
        <w:rPr>
          <w:rFonts w:cs="Arial"/>
        </w:rPr>
        <w:t xml:space="preserve">Native Hawaiian or Other Pacific Islander individuals make up 2.5% of those receiving homeless services, but only 1.7% of the total population. This population is 1.4 times larger than we would expect based on the county’s demographics.</w:t>
      </w:r>
    </w:p>
    <w:p>
      <w:pPr>
        <w:numPr>
          <w:ilvl w:val="0"/>
          <w:numId w:val="3"/>
        </w:numPr>
        <w:spacing w:beforeAutospacing="true" w:afterAutospacing="true"/>
        <w:rPr>
          <w:rFonts w:cs="Arial"/>
        </w:rPr>
      </w:pPr>
      <w:r>
        <w:rPr>
          <w:rFonts w:cs="Arial"/>
        </w:rPr>
        <w:t xml:space="preserve">Multi-Racial individuals make up 3.7% of those receiving homeless services, but only 2.9% of the total population. This population is 1.3 times larger than we would expect based on the county’s demographics.</w:t>
      </w:r>
    </w:p>
    <w:p>
      <w:pPr>
        <w:numPr>
          <w:ilvl w:val="0"/>
          <w:numId w:val="3"/>
        </w:numPr>
        <w:spacing w:beforeAutospacing="true" w:afterAutospacing="true"/>
        <w:rPr>
          <w:rFonts w:cs="Arial"/>
        </w:rPr>
      </w:pPr>
      <w:r>
        <w:rPr>
          <w:rFonts w:cs="Arial"/>
        </w:rPr>
        <w:t xml:space="preserve">Hispanic or Latino individuals make up 22% of those receiving homeless services, but only 18.6%of the total population. This population is 1.2 times larger than we would expect based on the county demographics.</w:t>
      </w:r>
    </w:p>
    <w:p>
      <w:pPr>
        <w:numPr>
          <w:ilvl w:val="0"/>
          <w:numId w:val="3"/>
        </w:numPr>
        <w:spacing w:beforeAutospacing="true" w:afterAutospacing="true"/>
        <w:rPr>
          <w:rFonts w:cs="Arial"/>
        </w:rPr>
      </w:pPr>
      <w:r>
        <w:rPr>
          <w:rFonts w:cs="Arial"/>
        </w:rPr>
        <w:t xml:space="preserve">White, Asian, and Non-Hispanic or Latino individuals each represent small percentages of those receiving homeless services than we would expect based on the county’s demographics.</w:t>
      </w:r>
    </w:p>
    <w:p>
      <w:pPr>
        <w:spacing w:beforeAutospacing="true" w:afterAutospacing="true"/>
        <w:rPr>
          <w:rFonts w:cs="Arial"/>
        </w:rPr>
      </w:pPr>
      <w:r>
        <w:rPr>
          <w:rFonts w:cs="Arial"/>
        </w:rPr>
        <w:t xml:space="preserve"> </w:t>
      </w:r>
    </w:p>
    <w:p>
      <w:pPr>
        <w:spacing w:beforeAutospacing="true" w:afterAutospacing="true"/>
        <w:rPr>
          <w:rFonts w:cs="Arial"/>
        </w:rPr>
      </w:pPr>
      <w:r>
        <w:rPr>
          <w:rFonts w:cs="Arial"/>
        </w:rPr>
        <w:t xml:space="preserve">There are racial and ethnic disparities in clients’ exit destinations, the primary outcome considered in this analysis.</w:t>
      </w:r>
    </w:p>
    <w:p>
      <w:pPr>
        <w:numPr>
          <w:ilvl w:val="0"/>
          <w:numId w:val="3"/>
        </w:numPr>
        <w:spacing w:beforeAutospacing="true" w:afterAutospacing="true"/>
        <w:rPr>
          <w:rFonts w:cs="Arial"/>
        </w:rPr>
      </w:pPr>
      <w:r>
        <w:rPr>
          <w:rFonts w:cs="Arial"/>
        </w:rPr>
        <w:t xml:space="preserve">Minorities make up a disproportionately high percentage of those exiting to a permanent destination.</w:t>
      </w:r>
      <w:r>
        <w:rPr>
          <w:rFonts w:cs="Arial"/>
        </w:rPr>
        <w:t xml:space="preserve">All racial minorities make up a greater percentage of those exiting to permanent destinations than they do of those receiving services.</w:t>
      </w:r>
      <w:r>
        <w:rPr>
          <w:rFonts w:cs="Arial"/>
        </w:rPr>
        <w:t xml:space="preserve">White individuals make up only 65.3% of those exiting to permanent destinations, yet make up 71.2% of those receiving services and 87.2% of the county’s population.</w:t>
      </w:r>
      <w:r>
        <w:rPr>
          <w:rFonts w:cs="Arial"/>
        </w:rPr>
        <w:t xml:space="preserve">Hispanic or Latino individuals make up 24.7% of those exiting to a permanent destination, but only 22% of those accessing homeless services.</w:t>
      </w:r>
    </w:p>
    <w:p>
      <w:pPr>
        <w:numPr>
          <w:ilvl w:val="0"/>
          <w:numId w:val="3"/>
        </w:numPr>
        <w:spacing w:beforeAutospacing="true" w:afterAutospacing="true"/>
        <w:rPr>
          <w:rFonts w:cs="Arial"/>
        </w:rPr>
      </w:pPr>
      <w:r>
        <w:rPr>
          <w:rFonts w:cs="Arial"/>
        </w:rPr>
        <w:t xml:space="preserve">Asian and Black or African American individuals make up a disproportionately low percentage of those exiting to a homeless destination when compared to those receiving services.</w:t>
      </w:r>
      <w:r>
        <w:rPr>
          <w:rFonts w:cs="Arial"/>
        </w:rPr>
        <w:t xml:space="preserve">All other races make up a disproportionately high percentage of those exiting to a homeless destination when compared to those receiving services.</w:t>
      </w:r>
    </w:p>
    <w:p>
      <w:pPr>
        <w:numPr>
          <w:ilvl w:val="0"/>
          <w:numId w:val="3"/>
        </w:numPr>
        <w:spacing w:beforeAutospacing="true" w:afterAutospacing="true"/>
        <w:rPr>
          <w:rFonts w:cs="Arial"/>
        </w:rPr>
      </w:pPr>
      <w:r>
        <w:rPr>
          <w:rFonts w:cs="Arial"/>
        </w:rPr>
        <w:t xml:space="preserve">Hispanic or Latino, American Indian or Alaska Native, Multi-Racial, or Native Hawaiian or Other Pacific Islander individuals make up a disproportionately high percentage of those exiting to a temporary destination when compared to those receiving services.</w:t>
      </w:r>
      <w:r>
        <w:rPr>
          <w:rFonts w:cs="Arial"/>
        </w:rPr>
        <w:t xml:space="preserve">Other races and ethnicities make up a disproportionately low percentage of those exiting to a homeless destination when compared to those receiving services.</w:t>
      </w:r>
    </w:p>
    <w:p>
      <w:pPr>
        <w:numPr>
          <w:ilvl w:val="0"/>
          <w:numId w:val="3"/>
        </w:numPr>
        <w:spacing w:beforeAutospacing="true" w:afterAutospacing="true"/>
        <w:rPr>
          <w:rFonts w:cs="Arial"/>
        </w:rPr>
      </w:pPr>
      <w:r>
        <w:rPr>
          <w:rFonts w:cs="Arial"/>
        </w:rPr>
        <w:t xml:space="preserve">White and Multi-Racial individuals make up a disproportionately high percentage of those exiting to an institutional destination when compared to those receiving services.</w:t>
      </w:r>
    </w:p>
    <w:p>
      <w:pPr>
        <w:numPr>
          <w:ilvl w:val="0"/>
          <w:numId w:val="3"/>
        </w:numPr>
        <w:spacing w:beforeAutospacing="true" w:afterAutospacing="true"/>
        <w:rPr>
          <w:rFonts w:cs="Arial"/>
        </w:rPr>
      </w:pPr>
      <w:r>
        <w:rPr>
          <w:rFonts w:cs="Arial"/>
        </w:rPr>
        <w:t xml:space="preserve">All other races make up a disproportionately low percentage of those exiting to an institutional destination when compared to those receiving services.</w:t>
      </w:r>
    </w:p>
    <w:p>
      <w:pPr>
        <w:rPr>
          <w:b/>
          <w:i/>
          <w:sz w:val="24"/>
          <w:szCs w:val="24"/>
        </w:rPr>
      </w:pPr>
      <w:r>
        <w:rPr>
          <w:b/>
          <w:sz w:val="24"/>
          <w:szCs w:val="24"/>
        </w:rPr>
        <w:t>Describe the Nature and Extent of Unsheltered and Sheltered Homelessness.</w:t>
      </w:r>
      <w:r>
        <w:rPr>
          <w:b/>
          <w:i/>
          <w:sz w:val="24"/>
          <w:szCs w:val="24"/>
        </w:rPr>
      </w:r>
    </w:p>
    <w:p>
      <w:pPr>
        <w:rPr>
          <w:rFonts w:cs="Arial"/>
        </w:rPr>
      </w:pPr>
      <w:r>
        <w:t xml:space="preserve"> </w:t>
      </w:r>
    </w:p>
    <w:p>
      <w:pPr>
        <w:spacing w:beforeAutospacing="true" w:afterAutospacing="true"/>
        <w:rPr>
          <w:rFonts w:cs="Arial"/>
        </w:rPr>
      </w:pPr>
      <w:r>
        <w:rPr>
          <w:rFonts w:cs="Arial"/>
        </w:rPr>
        <w:t xml:space="preserve">On the night of the 2019 Point-in-Time Count:</w:t>
      </w:r>
    </w:p>
    <w:p>
      <w:pPr>
        <w:spacing w:beforeAutospacing="true" w:afterAutospacing="true"/>
        <w:rPr>
          <w:rFonts w:cs="Arial"/>
        </w:rPr>
      </w:pPr>
      <w:r>
        <w:rPr>
          <w:rFonts w:cs="Arial"/>
        </w:rPr>
        <w:t xml:space="preserve"> </w:t>
      </w:r>
      <w:r>
        <w:rPr>
          <w:rFonts w:cs="Arial"/>
        </w:rPr>
        <w:t xml:space="preserve">there were 1,315 homeless persons in households without children</w:t>
      </w:r>
    </w:p>
    <w:p>
      <w:pPr>
        <w:numPr>
          <w:ilvl w:val="0"/>
          <w:numId w:val="3"/>
        </w:numPr>
        <w:spacing w:beforeAutospacing="true" w:afterAutospacing="true"/>
        <w:rPr>
          <w:rFonts w:cs="Arial"/>
        </w:rPr>
      </w:pPr>
      <w:r>
        <w:rPr>
          <w:rFonts w:cs="Arial"/>
        </w:rPr>
        <w:t xml:space="preserve">there were 526 homeless persons in households with children</w:t>
      </w:r>
    </w:p>
    <w:p>
      <w:pPr>
        <w:numPr>
          <w:ilvl w:val="0"/>
          <w:numId w:val="3"/>
        </w:numPr>
        <w:spacing w:beforeAutospacing="true" w:afterAutospacing="true"/>
        <w:rPr>
          <w:rFonts w:cs="Arial"/>
        </w:rPr>
      </w:pPr>
      <w:r>
        <w:rPr>
          <w:rFonts w:cs="Arial"/>
        </w:rPr>
        <w:t xml:space="preserve">there were 3 homeless persons in households with only children</w:t>
      </w:r>
    </w:p>
    <w:p>
      <w:pPr>
        <w:spacing w:beforeAutospacing="true" w:afterAutospacing="true"/>
        <w:rPr>
          <w:rFonts w:cs="Arial"/>
        </w:rPr>
      </w:pPr>
      <w:r>
        <w:rPr>
          <w:rFonts w:cs="Arial"/>
        </w:rPr>
        <w:t xml:space="preserve"> </w:t>
      </w:r>
    </w:p>
    <w:p>
      <w:pPr>
        <w:spacing w:beforeAutospacing="true" w:afterAutospacing="true"/>
        <w:rPr>
          <w:rFonts w:cs="Arial"/>
        </w:rPr>
      </w:pPr>
      <w:r>
        <w:rPr>
          <w:rFonts w:cs="Arial"/>
        </w:rPr>
        <w:t xml:space="preserve">Of those who were counted as homeless, 193 persons were unsheltered.</w:t>
      </w:r>
    </w:p>
    <w:p>
      <w:pPr>
        <w:spacing w:beforeAutospacing="true" w:afterAutospacing="true"/>
        <w:rPr>
          <w:rFonts w:cs="Arial"/>
        </w:rPr>
      </w:pPr>
      <w:r>
        <w:rPr>
          <w:rFonts w:cs="Arial"/>
        </w:rPr>
        <w:t xml:space="preserve"> </w:t>
      </w:r>
    </w:p>
    <w:p>
      <w:pPr>
        <w:spacing w:beforeAutospacing="true" w:afterAutospacing="true"/>
        <w:rPr>
          <w:rFonts w:cs="Arial"/>
        </w:rPr>
      </w:pPr>
      <w:r>
        <w:rPr>
          <w:rFonts w:cs="Arial"/>
        </w:rPr>
        <w:t xml:space="preserve"> </w:t>
      </w:r>
    </w:p>
    <w:p>
      <w:pPr>
        <w:spacing w:line="204" w:lineRule="auto"/>
        <w:rPr>
          <w:b/>
          <w:sz w:val="24"/>
          <w:szCs w:val="24"/>
        </w:rPr>
      </w:pPr>
      <w:r>
        <w:rPr>
          <w:b/>
          <w:sz w:val="24"/>
          <w:szCs w:val="24"/>
        </w:rPr>
        <w:t>Discussion:</w:t>
      </w:r>
      <w:r>
        <w:rPr>
          <w:b/>
          <w:i/>
          <w:sz w:val="24"/>
          <w:szCs w:val="24"/>
        </w:rPr>
      </w:r>
    </w:p>
    <w:p>
      <w:pPr>
        <w:spacing w:beforeAutospacing="true" w:afterAutospacing="true"/>
        <w:rPr>
          <w:b/>
          <w:sz w:val="24"/>
          <w:szCs w:val="24"/>
        </w:rPr>
      </w:pPr>
      <w:r>
        <w:rPr>
          <w:rFonts w:cs="Arial"/>
        </w:rPr>
        <w:t xml:space="preserve"> Salt Lake County has set as one of this highest priorities to provide assistance and support for thre homeless and at risk of becoming homeless. HOME funds are committed to Tenant Based Rental Assistance to be adminstered by the Road Home, Utah Community Action and Housing Connect provide assistance for homeless prevention, and rapid re housing programs. HOME funds are committed to rental housing developments which will provide housing affordable to households at below 50% of ami. CDBG and ESG funds will help fund agencies who are provide services to the homeless and help prevent homeless. Of our goals is to help increse the housing stability of households so they do not become homeless.</w:t>
      </w:r>
    </w:p>
    <w:p>
      <w:pPr>
        <w:spacing w:line="204" w:lineRule="auto"/>
        <w:rPr>
          <w:b/>
          <w:sz w:val="24"/>
          <w:szCs w:val="24"/>
        </w:rPr>
      </w:pPr>
      <w:r>
        <w:rPr>
          <w:b/>
          <w:i/>
          <w:sz w:val="24"/>
          <w:szCs w:val="24"/>
        </w:rPr>
        <w:t xml:space="preserve"> </w:t>
      </w:r>
    </w:p>
    <w:p>
      <w:pPr>
        <w:spacing w:beforeAutospacing="true" w:afterAutospacing="true"/>
        <w:rPr>
          <w:b/>
          <w:sz w:val="24"/>
          <w:szCs w:val="24"/>
        </w:rPr>
      </w:pPr>
      <w:r>
        <w:rPr>
          <w:rFonts w:cs="Arial"/>
        </w:rPr>
        <w:t xml:space="preserve">Data from HUD’s Special Tabulations show that of the 154,308 elderly individuals in Salt Lake County, 10,300 have incomes below $20,000 Table 1.  These households receive no housing assistance and are either living in market-rate rental units or owner-occupied housing units that likely have deferred maintenance issues. These 10,300 elderly households are financially vulnerable and most likely to face housing instability and the possibility of homelessness.  Over the next five years, the number of these vulnerable elderly households will increase to about 450 households annually or 1,800 households from 2020 to 2025.  The Gardner Policy Institute is the source for these population projections.  The Gardner Policy Institute has developed population projections by age for Utah's 29 counties.</w:t>
      </w:r>
    </w:p>
    <w:p>
      <w:pPr>
        <w:spacing w:beforeAutospacing="true" w:afterAutospacing="true"/>
        <w:rPr>
          <w:b/>
          <w:sz w:val="24"/>
          <w:szCs w:val="24"/>
        </w:rPr>
      </w:pPr>
      <w:r>
        <w:rPr>
          <w:rFonts w:cs="Arial"/>
        </w:rPr>
        <w:t xml:space="preserve"> </w:t>
      </w:r>
    </w:p>
    <w:p>
      <w:pPr>
        <w:spacing w:beforeAutospacing="true" w:afterAutospacing="true"/>
        <w:rPr>
          <w:b/>
          <w:sz w:val="24"/>
          <w:szCs w:val="24"/>
        </w:rPr>
      </w:pPr>
      <w:r>
        <w:rPr>
          <w:rFonts w:cs="Arial"/>
        </w:rPr>
        <w:t xml:space="preserve">Salt Lake County has 62,192 non-elderly persons with a disability.  Not all of these households face housing instability or housing need.  While no local data exists on the housing needs of non-elderly disabled persons, some national ratios allow for local estimates of the housing need of this special needs population.  The national ratios come from </w:t>
      </w:r>
      <w:r>
        <w:rPr>
          <w:rFonts w:cs="Arial"/>
          <w:i/>
        </w:rPr>
        <w:t xml:space="preserve">2009 Worst Case Housing Needs of People with Disabilities</w:t>
      </w:r>
      <w:r>
        <w:rPr>
          <w:rFonts w:cs="Arial"/>
        </w:rPr>
        <w:t xml:space="preserve">, published by HUD’s Office of Policy Development and Research.  This study reported that 11% of non-elderly renter households had a disabled individual.  Renter households are most relevant since two-thirds of all disabled renters households are very low-income households and the households most in need of housing.  One-quarter of the non-elderly renter households with a disabled individual are very low income to extremely low-income households.  Applying the national ratios to Salt Lake County's renter population yields an estimate of 3,000 very low or extremely low-income renter households with a disabled individual.  Using the recent rate of growth (2000-2018) in renter households in Salt Lake County of 3.0%, the number of very low and extremely low income non-elderly disabled renter households will increase by about 90 households annually.</w:t>
      </w:r>
    </w:p>
    <w:p>
      <w:pPr>
        <w:keepNext/>
        <w:widowControl w:val="false"/>
        <w:spacing w:after="0" w:line="240" w:lineRule="auto"/>
        <w:rPr>
          <w:b/>
          <w:vanish/>
          <w:sz w:val="10"/>
          <w:szCs w:val="10"/>
        </w:rPr>
      </w:pPr>
    </w:p>
    <w:tbl>
      <w:tblPr>
        <w:tblW w:w="5000" w:type="pct"/>
        <w:tblInd w:w="115" w:type="dxa"/>
        <w:tblCellMar>
          <w:left w:w="115" w:type="dxa"/>
          <w:right w:w="115" w:type="dxa"/>
        </w:tblCellMar>
        <w:tblLook w:firstRow="1" w:lastRow="1" w:firstColumn="1" w:lastColumn="1" w:noHBand="0" w:noVBand="0" w:val="01E0"/>
      </w:tblPr>
      <w:tblGrid>
        <w:gridCol w:w="1485"/>
        <w:gridCol w:w="11705"/>
      </w:tblGrid>
    </w:tbl>
    <w:p>
      <w:pPr>
        <w:keepNext/>
        <w:widowControl w:val="false"/>
        <w:spacing w:after="0" w:line="240" w:lineRule="auto"/>
        <w:jc w:val="center"/>
        <w:rPr>
          <w:b/>
          <w:bCs/>
          <w:vanish/>
          <w:sz w:val="20"/>
          <w:szCs w:val="20"/>
        </w:rPr>
      </w:pPr>
    </w:p>
    <w:p>
      <w:pPr>
        <w:spacing w:after="0" w:line="240" w:lineRule="auto"/>
        <w:rPr>
          <w:b/>
          <w:bCs/>
          <w:vanish/>
          <w:sz w:val="16"/>
          <w:szCs w:val="16"/>
        </w:rPr>
      </w:pPr>
    </w:p>
    <w:tbl>
      <w:tblPr>
        <w:tblW w:w="5000" w:type="pct"/>
        <w:tblInd w:w="115" w:type="dxa"/>
        <w:tblCellMar>
          <w:left w:w="115" w:type="dxa"/>
          <w:right w:w="115" w:type="dxa"/>
        </w:tblCellMar>
        <w:tblLook w:firstRow="1" w:lastRow="1" w:firstColumn="1" w:lastColumn="1" w:noHBand="0" w:noVBand="0" w:val="01E0"/>
      </w:tblPr>
      <w:tblGrid>
        <w:gridCol w:w="2723"/>
        <w:gridCol w:w="10467"/>
      </w:tblGrid>
    </w:tbl>
    <w:p>
      <w:pPr>
        <w:rPr>
          <w:rFonts w:cs="Arial"/>
          <w:sz w:val="16"/>
          <w:szCs w:val="16"/>
        </w:rPr>
      </w:pPr>
    </w:p>
    <w:tbl>
      <w:tblPr>
        <w:tblW w:w="5000" w:type="pct"/>
        <w:tblInd w:w="115" w:type="dxa"/>
        <w:tblCellMar>
          <w:left w:w="115" w:type="dxa"/>
          <w:right w:w="115" w:type="dxa"/>
        </w:tblCellMar>
        <w:tblLook w:firstRow="1" w:lastRow="1" w:firstColumn="1" w:lastColumn="1" w:noHBand="0" w:noVBand="0" w:val="01E0"/>
      </w:tblPr>
      <w:tblGrid>
        <w:gridCol w:w="1485"/>
        <w:gridCol w:w="11705"/>
      </w:tblGrid>
    </w:tbl>
    <w:p>
      <w:pPr>
        <w:keepNext/>
        <w:widowControl w:val="false"/>
        <w:spacing w:after="0" w:line="240" w:lineRule="auto"/>
        <w:jc w:val="center"/>
        <w:rPr>
          <w:b/>
          <w:bCs/>
          <w:vanish/>
          <w:sz w:val="20"/>
          <w:szCs w:val="20"/>
        </w:rPr>
      </w:pPr>
    </w:p>
    <w:p>
      <w:pPr>
        <w:spacing w:after="0" w:line="240" w:lineRule="auto"/>
        <w:rPr>
          <w:b/>
          <w:bCs/>
          <w:vanish/>
          <w:sz w:val="16"/>
          <w:szCs w:val="16"/>
        </w:rPr>
      </w:pPr>
    </w:p>
    <w:tbl>
      <w:tblPr>
        <w:tblW w:w="5000" w:type="pct"/>
        <w:tblInd w:w="115" w:type="dxa"/>
        <w:tblCellMar>
          <w:left w:w="115" w:type="dxa"/>
          <w:right w:w="115" w:type="dxa"/>
        </w:tblCellMar>
        <w:tblLook w:firstRow="1" w:lastRow="1" w:firstColumn="1" w:lastColumn="1" w:noHBand="0" w:noVBand="0" w:val="01E0"/>
      </w:tblPr>
      <w:tblGrid>
        <w:gridCol w:w="2723"/>
        <w:gridCol w:w="10467"/>
      </w:tblGrid>
    </w:tbl>
    <w:p/>
    <w:p>
      <w:pPr>
        <w:rPr>
          <w:rFonts w:cs="Arial"/>
        </w:rPr>
      </w:pPr>
      <w:r>
        <w:t xml:space="preserve"> </w:t>
      </w:r>
    </w:p>
    <w:p>
      <w:pPr>
        <w:spacing w:beforeAutospacing="true" w:afterAutospacing="true"/>
        <w:rPr>
          <w:rFonts w:cs="Arial"/>
        </w:rPr>
      </w:pPr>
      <w:r>
        <w:rPr>
          <w:rFonts w:cs="Arial"/>
          <w:b/>
        </w:rPr>
        <w:t xml:space="preserve"> </w:t>
      </w:r>
      <w:r>
        <w:rPr>
          <w:rFonts w:cs="Arial"/>
        </w:rPr>
        <w:t xml:space="preserve">Data from HUD’s Special Tabulations show that of the 154,308 elderly individuals in Salt Lake County, 10,300 have incomes below $20,000.  These households receive no housing assistance and are either living in market-rate rental units or owner-occupied housing units that likely have deferred maintenance issues. These 10,300 elderly households are financially vulnerable and most likely to face housing instability and the possibility of homelessness.  Over the next five years, the number of these vulnerable elderly households will increase to about 450 households annually or 1,800 households from 2020 to 2025.  The Gardner Policy Institute is the source for these population projections.  The Gardner Policy Institute has developed population projections by age for Utah's 29 counties.</w:t>
      </w:r>
    </w:p>
    <w:p>
      <w:pPr>
        <w:spacing w:beforeAutospacing="true" w:afterAutospacing="true"/>
        <w:rPr>
          <w:rFonts w:cs="Arial"/>
        </w:rPr>
      </w:pPr>
      <w:r>
        <w:rPr>
          <w:rFonts w:cs="Arial"/>
        </w:rPr>
        <w:t xml:space="preserve"> </w:t>
      </w:r>
    </w:p>
    <w:p>
      <w:pPr>
        <w:spacing w:beforeAutospacing="true" w:afterAutospacing="true"/>
        <w:rPr>
          <w:rFonts w:cs="Arial"/>
        </w:rPr>
      </w:pPr>
      <w:r>
        <w:rPr>
          <w:rFonts w:cs="Arial"/>
        </w:rPr>
        <w:t xml:space="preserve">Salt Lake County has 62,192 non-elderly persons with a disability.  Not all of these households face housing instability or housing need.  While no local data exists on the housing needs of non-elderly disabled persons, some national ratios allow for local estimates of the housing need of this special needs population.  The national ratios come from </w:t>
      </w:r>
      <w:r>
        <w:rPr>
          <w:rFonts w:cs="Arial"/>
          <w:i/>
        </w:rPr>
        <w:t xml:space="preserve">2009 Worst Case Housing Needs of People with Disabilities</w:t>
      </w:r>
      <w:r>
        <w:rPr>
          <w:rFonts w:cs="Arial"/>
        </w:rPr>
        <w:t xml:space="preserve">, published by HUD’s Office of Policy Development and Research.  This study reported that 11% of non-elderly renter households had a disabled individual.  Renter households are most relevant since two-thirds of all disabled renters households are very low-income households and the households most in need of housing.  One-quarter of the non-elderly renter households with a disabled individual are very low income to extremely low-income households.  Applying the national ratios to Salt Lake County's renter population yields an estimate of 3,000 very low or extremely low-income renter households with a disabled individual.  Using the recent rate of growth (2000-2018) in renter households in Salt Lake County of 3.0%, the number of very low and extremely low income non-elderly disabled renter households will increase by about 90 households annually.</w:t>
      </w:r>
    </w:p>
    <w:p>
      <w:pPr>
        <w:spacing w:beforeAutospacing="true" w:afterAutospacing="true"/>
        <w:rPr>
          <w:rFonts w:cs="Arial"/>
        </w:rPr>
      </w:pPr>
      <w:r>
        <w:rPr>
          <w:rFonts w:cs="Arial"/>
          <w:b/>
        </w:rPr>
        <w:t xml:space="preserve"> </w:t>
      </w:r>
    </w:p>
    <w:p>
      <w:pPr>
        <w:spacing w:beforeAutospacing="true" w:afterAutospacing="true"/>
        <w:rPr>
          <w:rFonts w:cs="Arial"/>
        </w:rPr>
      </w:pPr>
      <w:r>
        <w:rPr>
          <w:rFonts w:cs="Arial"/>
          <w:b/>
        </w:rPr>
        <w:t xml:space="preserve"> </w:t>
      </w:r>
    </w:p>
    <w:p>
      <w:pPr>
        <w:rPr>
          <w:rFonts w:cs="Arial"/>
        </w:rPr>
      </w:pPr>
      <w:r>
        <w:t xml:space="preserve"> </w:t>
      </w:r>
    </w:p>
    <w:p>
      <w:pPr>
        <w:spacing w:beforeAutospacing="true" w:afterAutospacing="true"/>
        <w:rPr>
          <w:rFonts w:cs="Arial"/>
        </w:rPr>
      </w:pPr>
      <w:r>
        <w:rPr>
          <w:rFonts w:cs="Arial"/>
        </w:rPr>
        <w:t xml:space="preserve">The types of supportive services for individuals with special needs include case management, crisis services, and counseling, health services, legal services, education and training, employment services for at-risk youth and housing services.  These services have been structured to prevent homelessness, strengthen families, and provide crisis services.  How the housing needs for the elderly and disabled was determined is described above and for victims of domestic violence described below. The Green and Healthy Homes initiative will be available for all low to moderate income homeowners to make their homes healthy and safe.</w:t>
      </w:r>
    </w:p>
    <w:p>
      <w:pPr>
        <w:rPr>
          <w:rFonts w:cs="Arial"/>
        </w:rPr>
      </w:pPr>
      <w:r>
        <w:t xml:space="preserve"> </w:t>
      </w:r>
    </w:p>
    <w:p>
      <w:pPr>
        <w:spacing w:beforeAutospacing="true" w:afterAutospacing="true"/>
        <w:rPr>
          <w:rFonts w:cs="Arial"/>
        </w:rPr>
      </w:pPr>
      <w:r>
        <w:rPr>
          <w:rFonts w:cs="Arial"/>
        </w:rPr>
        <w:t xml:space="preserve"> </w:t>
      </w:r>
      <w:r>
        <w:rPr>
          <w:rFonts w:cs="Arial"/>
        </w:rPr>
        <w:t xml:space="preserve">The number of persons with HIV in Salt Lake County in 2018 was 1,860.  The annual increase in this special needs population has been about 4% or approximately 80 individuals Table 2.  No data exist on the number of persons with HIV that need housing, but it's reasonable to assume that at least 10%these individuals would have a need for affordable housing.</w:t>
      </w:r>
    </w:p>
    <w:p>
      <w:pPr>
        <w:spacing w:beforeAutospacing="true" w:afterAutospacing="true"/>
        <w:rPr>
          <w:rFonts w:cs="Arial"/>
        </w:rPr>
      </w:pPr>
      <w:r>
        <w:rPr>
          <w:rFonts w:cs="Arial"/>
        </w:rPr>
        <w:t xml:space="preserve"> </w:t>
      </w:r>
      <w:r>
        <w:rPr>
          <w:rFonts w:cs="Arial"/>
        </w:rPr>
        <w:t xml:space="preserve">Approximately 1,300 individuals annually access shelter services in Salt Lake County due to domestic violence, dating violence, sexual assault, and stalking. The two shelters operate at full capacity. The YWCA shelter for victims of domestic violence has 181 beds, and the South Valley Sanctuary has 53 beds.  Additional beds are needed for victims of domestic violence.</w:t>
      </w:r>
    </w:p>
    <w:p>
      <w:pPr>
        <w:spacing w:line="204" w:lineRule="auto"/>
        <w:rPr>
          <w:rFonts w:cs="Arial"/>
        </w:rPr>
      </w:pPr>
      <w:r>
        <w:t xml:space="preserve"> </w:t>
      </w:r>
    </w:p>
    <w:p>
      <w:pPr>
        <w:spacing w:beforeAutospacing="true" w:afterAutospacing="true"/>
        <w:rPr>
          <w:rFonts w:cs="Arial"/>
        </w:rPr>
      </w:pPr>
      <w:r>
        <w:rPr>
          <w:rFonts w:cs="Arial"/>
        </w:rPr>
        <w:t xml:space="preserve">One of Salt Lake County's top priorities for the next five years is to commit what funds are available to meet some of the needs mention above. To help the elderly Salt Lake County's Green and Healthy homes program will provide grants and loans to help increase housing stability by making each home healthy and safe, by substantial investment of around $20,000 per home to help with aging in place through installing fully accessible bathrooms, chair lifts, ramps, and new flooring. We will further increase housing stability by improving the energy efficiency of each homes, reducing their energy costs.</w:t>
      </w:r>
    </w:p>
    <w:p>
      <w:pPr>
        <w:spacing w:beforeAutospacing="true" w:afterAutospacing="true"/>
        <w:rPr>
          <w:rFonts w:cs="Arial"/>
        </w:rPr>
      </w:pPr>
      <w:r>
        <w:rPr>
          <w:rFonts w:cs="Arial"/>
        </w:rPr>
        <w:t xml:space="preserve">CDBG funds will help fund a variety of services provided through nonprofits that are mentioned above.</w:t>
      </w:r>
    </w:p>
    <w:p>
      <w:pPr>
        <w:spacing w:after="0" w:line="240" w:lineRule="auto"/>
        <w:rPr>
          <w:rFonts w:cs="Arial"/>
        </w:rPr>
      </w:pPr>
      <w:r>
        <w:rPr>
          <w:rFonts w:cs="Arial"/>
        </w:rPr>
        <w:br w:type="page"/>
      </w:r>
    </w:p>
    <w:p>
      <w:pPr>
        <w:pStyle w:val="Heading2"/>
        <w:pageBreakBefore/>
        <w:rPr>
          <w:rFonts w:ascii="Calibri" w:hAnsi="Calibri"/>
          <w:i w:val="false"/>
        </w:rPr>
        <w:sectPr>
          <w:headerReference r:id="rId14" w:type="even"/>
          <w:headerReference r:id="rId15" w:type="default"/>
          <w:footerReference r:id="rId16" w:type="even"/>
          <w:headerReference r:id="rId17" w:type="first"/>
          <w:footerReference r:id="rId18" w:type="first"/>
          <w:pgSz w:w="15840" w:h="12240" w:orient="landscape"/>
          <w:pgMar w:top="1440" w:right="1440" w:bottom="1440" w:left="1440" w:header="720" w:footer="720" w:gutter="0"/>
          <w:cols w:space="720"/>
          <w:docGrid w:linePitch="360"/>
        </w:sectPr>
      </w:pPr>
    </w:p>
    <w:p>
      <w:pPr>
        <w:pStyle w:val="Heading2"/>
        <w:pageBreakBefore/>
        <w:rPr>
          <w:rFonts w:ascii="Calibri" w:hAnsi="Calibri"/>
          <w:i w:val="false"/>
        </w:rPr>
      </w:pPr>
      <w:r>
        <w:rPr>
          <w:rFonts w:ascii="Calibri" w:hAnsi="Calibri"/>
          <w:i w:val="false"/>
        </w:rPr>
        <w:t>NA-50 Non-Housing Community Development Needs - 91.415, 91.215 (f)</w:t>
      </w:r>
    </w:p>
    <w:p>
      <w:pPr>
        <w:rPr>
          <w:b/>
          <w:sz w:val="24"/>
          <w:szCs w:val="24"/>
        </w:rPr>
      </w:pPr>
      <w:r>
        <w:rPr>
          <w:b/>
          <w:sz w:val="24"/>
          <w:szCs w:val="24"/>
        </w:rPr>
        <w:t>Describe the jurisdiction’s need for Public Facilities:</w:t>
      </w:r>
    </w:p>
    <w:p>
      <w:pPr>
        <w:spacing w:beforeAutospacing="true" w:afterAutospacing="true"/>
        <w:rPr>
          <w:rFonts w:cs="Arial"/>
        </w:rPr>
      </w:pPr>
      <w:r>
        <w:rPr>
          <w:rFonts w:cs="Arial"/>
        </w:rPr>
        <w:t xml:space="preserve">Many of the facilities that are owned or occupied by agencies that provide the services needed to meet the outcomes identified for the Consolidated Plan period are in need of improvements in order to provide these services.  The criteria needed for these types of improvements are identified in the Request for Applications  each year with all the requirements listed for the grant funding.  </w:t>
      </w:r>
    </w:p>
    <w:p>
      <w:pPr>
        <w:spacing w:beforeAutospacing="true" w:afterAutospacing="true"/>
        <w:rPr>
          <w:rFonts w:cs="Arial"/>
        </w:rPr>
      </w:pPr>
      <w:r>
        <w:rPr>
          <w:rFonts w:cs="Arial"/>
        </w:rPr>
        <w:t xml:space="preserve">Agencies who provide services may apply for funding for physical improvements to their facilities.  A deed restriction is placed on properties improved with these funds for a minimum of five to fifteen years depending on the funding amount to ensure the building is used for an eligible CDBG activity. If the agency does not own the building, it must have a lease agreement for not less than 5 years. Agencies applying for “Facility Improvements” need to identify if the improvements are required to meet existing building codes, are required for health and safety reasons or if the improvement is required to provide the program services. Agencies must demonstrate a facility improvement need is not fulfilling a preventive measure.  General maintenance and repair of a building would </w:t>
      </w:r>
      <w:r>
        <w:rPr>
          <w:rFonts w:cs="Arial"/>
          <w:u w:val="single"/>
        </w:rPr>
        <w:t xml:space="preserve">not</w:t>
      </w:r>
      <w:r>
        <w:rPr>
          <w:rFonts w:cs="Arial"/>
        </w:rPr>
        <w:t xml:space="preserve"> be considered an eligible expense under CDBG guidelines.  </w:t>
      </w:r>
    </w:p>
    <w:p>
      <w:pPr>
        <w:rPr>
          <w:rFonts w:cs="Arial"/>
          <w:b/>
          <w:sz w:val="24"/>
          <w:szCs w:val="24"/>
        </w:rPr>
      </w:pPr>
      <w:r>
        <w:rPr>
          <w:b/>
          <w:sz w:val="24"/>
          <w:szCs w:val="24"/>
        </w:rPr>
        <w:t>How were these needs determined?</w:t>
      </w:r>
    </w:p>
    <w:p>
      <w:pPr>
        <w:spacing w:beforeAutospacing="true" w:afterAutospacing="true"/>
        <w:rPr>
          <w:rFonts w:cs="Arial"/>
        </w:rPr>
      </w:pPr>
      <w:r>
        <w:rPr>
          <w:rFonts w:cs="Arial"/>
        </w:rPr>
        <w:t xml:space="preserve">The funding priorities and needs for public facility improvements are a result of a comprehensive analysis which factors in growing service needs and expansion of the services, updates of building codes and emergency and urgent needs. However, the increased priorities of affordable housing and housing preservation have resulted in a lessening demand for public facility improvements to housing activities. This shift in priorities is documented in the responses from the community needs assessment and the data demonstrating the increase housing costs and housing instability in Salt Lake County.  A strong emphasis has been placed on meeting performance measurements and outcomes for the Consolidated Plan term.  The information from the Fair Housing Equity Assessment is also included in how the needs are determined.  Agencies that are working in areas that have low opportunity and are providing services to underserved populations are able to receive higher scores and rankings through the evaluation criteria for submitted proposals.</w:t>
      </w:r>
    </w:p>
    <w:p>
      <w:pPr>
        <w:spacing w:beforeAutospacing="true" w:afterAutospacing="true"/>
        <w:rPr>
          <w:rFonts w:cs="Arial"/>
        </w:rPr>
      </w:pPr>
      <w:r>
        <w:rPr>
          <w:rFonts w:cs="Arial"/>
        </w:rPr>
        <w:t xml:space="preserve">Projects located outside of the Urban County eligible census tracts may receive facility improvement resources from the County CDBG Program if the program services has a history of serving residents of the Urban County and plans to continue to serve the Urban County residence. Such improvements financial awards will only be provided based on the ratio of eligible clientele.</w:t>
      </w:r>
    </w:p>
    <w:p>
      <w:pPr>
        <w:rPr>
          <w:rFonts w:cs="Arial"/>
        </w:rPr>
      </w:pPr>
    </w:p>
    <w:p>
      <w:pPr>
        <w:rPr>
          <w:b/>
          <w:sz w:val="24"/>
          <w:szCs w:val="24"/>
        </w:rPr>
      </w:pPr>
      <w:r>
        <w:rPr>
          <w:b/>
          <w:sz w:val="24"/>
          <w:szCs w:val="24"/>
        </w:rPr>
        <w:t>Describe the jurisdiction’s need for Public Improvements:</w:t>
      </w:r>
    </w:p>
    <w:p>
      <w:pPr>
        <w:spacing w:beforeAutospacing="true" w:afterAutospacing="true"/>
        <w:rPr>
          <w:rFonts w:cs="Arial"/>
        </w:rPr>
      </w:pPr>
      <w:r>
        <w:rPr>
          <w:rFonts w:cs="Arial"/>
        </w:rPr>
        <w:t xml:space="preserve">Projects submitted under Infrastructure Improvements must be located within the Urban County and be located in a CDBG eligible census tract with the exception of ADA Improvements.  ADA Improvements can be made anywhere in the Urban County to allow for accessibility for persons with disabilities.  Salt Lake County also supports activities that promote Healthy Communities and Expanding services to underserved communities as identified by HCD service level analysis.</w:t>
      </w:r>
    </w:p>
    <w:p>
      <w:pPr>
        <w:rPr>
          <w:b/>
          <w:sz w:val="24"/>
          <w:szCs w:val="24"/>
        </w:rPr>
      </w:pPr>
      <w:r>
        <w:rPr>
          <w:b/>
          <w:sz w:val="24"/>
          <w:szCs w:val="24"/>
        </w:rPr>
        <w:t>How were these needs determined?</w:t>
      </w:r>
    </w:p>
    <w:p>
      <w:pPr>
        <w:spacing w:beforeAutospacing="true" w:afterAutospacing="true"/>
        <w:rPr>
          <w:rFonts w:cs="Arial"/>
        </w:rPr>
      </w:pPr>
    </w:p>
    <w:p>
      <w:pPr>
        <w:spacing w:beforeAutospacing="true" w:afterAutospacing="true"/>
        <w:rPr>
          <w:rFonts w:cs="Arial"/>
        </w:rPr>
      </w:pPr>
      <w:r>
        <w:rPr>
          <w:rFonts w:cs="Arial"/>
        </w:rPr>
        <w:t xml:space="preserve">The funding priorities and needs for public improvements are a result of a comprehensive analysis which factored in literature reviews of multiple needs assessments, the public needs hearing process and internal stakeholder meetings.  A strong emphasis has been placed on meeting performance measurements and outcomes for the Consolidated Plan term.  The information from the Fair Housing Equity Assessment is also used in determining the needs for public improvements.   Areas that have been identified as low opportunity cities and neighborhoods meet a higher need that areas that have high opportunity.  Access to housing, transportation, employment, health services, school proficiency, food deserts and childcare are just a few of the areas that are used in the criteria for low opportunity.  </w:t>
      </w:r>
    </w:p>
    <w:p>
      <w:pPr>
        <w:spacing w:beforeAutospacing="true" w:afterAutospacing="true"/>
        <w:rPr>
          <w:rFonts w:cs="Arial"/>
        </w:rPr>
      </w:pPr>
      <w:r>
        <w:rPr>
          <w:rFonts w:cs="Arial"/>
        </w:rPr>
        <w:t xml:space="preserve"> </w:t>
      </w:r>
    </w:p>
    <w:p>
      <w:pPr>
        <w:rPr>
          <w:rFonts w:cs="Arial"/>
        </w:rPr>
      </w:pPr>
    </w:p>
    <w:p>
      <w:pPr>
        <w:rPr>
          <w:b/>
          <w:sz w:val="24"/>
          <w:szCs w:val="24"/>
        </w:rPr>
      </w:pPr>
      <w:r>
        <w:rPr>
          <w:b/>
          <w:sz w:val="24"/>
          <w:szCs w:val="24"/>
        </w:rPr>
        <w:t>Describe the jurisdiction’s need for Public Services:</w:t>
      </w:r>
    </w:p>
    <w:p>
      <w:pPr>
        <w:spacing w:beforeAutospacing="true" w:afterAutospacing="true"/>
        <w:rPr>
          <w:rFonts w:cs="Arial"/>
        </w:rPr>
      </w:pPr>
      <w:r>
        <w:rPr>
          <w:rFonts w:cs="Arial"/>
        </w:rPr>
        <w:t xml:space="preserve">The funding priorities for community and support services that have been established are directly linked to the outcomes which Salt Lake County is seeking to effect in our community.  Eligible services will be funded for programs that can show progress towards the specified outcomes through established performance indicators.      </w:t>
      </w:r>
    </w:p>
    <w:p>
      <w:pPr>
        <w:spacing w:beforeAutospacing="true" w:afterAutospacing="true"/>
        <w:rPr>
          <w:rFonts w:cs="Arial"/>
        </w:rPr>
      </w:pPr>
      <w:r>
        <w:rPr>
          <w:rFonts w:cs="Arial"/>
        </w:rPr>
        <w:t xml:space="preserve">The following needs have been identified as a priority in the Consolidated Plan, which will be mitigated by the corresponding outcome achieved through Public Services activities: ACCESS TO CRISIS SERVICES: Healthy People through the provision of Crisis Services; HOUSING: Healthy People through Housing Stabilization ; ECONOMIC INDEPENDENCE OR SUPPORT: Expanded Opportunity through Economic Mobility ; STABILITY AND SAFETY:  Healthy People through Stabilization and through the provision of Crisis Services.</w:t>
      </w:r>
    </w:p>
    <w:p>
      <w:pPr>
        <w:spacing w:beforeAutospacing="true" w:afterAutospacing="true"/>
        <w:rPr>
          <w:rFonts w:cs="Arial"/>
        </w:rPr>
      </w:pPr>
      <w:r>
        <w:rPr>
          <w:rFonts w:cs="Arial"/>
        </w:rPr>
        <w:t xml:space="preserve">Salt Lake County is also promoting the following initiatives, which are often addressed by programs that provide community and support services ( “soft cost” projects). If applicable, Housing and Community Development (HCD) encourages agencies to demonstrate how proposed projects align with these efforts:  Neighborhood Revitalization; Healthy Communities; and Expanding services to underserved communities as identified by HCD service level analysis</w:t>
      </w:r>
    </w:p>
    <w:p>
      <w:pPr>
        <w:rPr>
          <w:b/>
          <w:sz w:val="24"/>
          <w:szCs w:val="24"/>
        </w:rPr>
      </w:pPr>
      <w:r>
        <w:rPr>
          <w:b/>
          <w:sz w:val="24"/>
          <w:szCs w:val="24"/>
        </w:rPr>
        <w:t>How were these needs determined?</w:t>
      </w:r>
    </w:p>
    <w:p>
      <w:pPr>
        <w:spacing w:beforeAutospacing="true" w:afterAutospacing="true"/>
        <w:rPr>
          <w:rFonts w:cs="Arial"/>
        </w:rPr>
      </w:pPr>
      <w:r>
        <w:rPr>
          <w:rFonts w:cs="Arial"/>
        </w:rPr>
        <w:t xml:space="preserve">The public services needs have been informed by the Opportunity Index (originally a product created from the HUD Sustainable Communities Grant) measuring access to opportunities (jobs, education, transportation, health, housing stability and quality food) further overlaying the Analysis of Impediments, Fair Housing and the Housing Conditions Assessment. It is further determined that public infrastructure improvements in underserved and low opportunity communities need to be supported by the social service structure in place. This alignment of resources is to improve the residence physical and mental health and housing stability. Salt Lake County has correlated Housing and Community Stability with the Social Determinants of Health (SDOH).</w:t>
      </w:r>
    </w:p>
    <w:p>
      <w:pPr>
        <w:spacing w:beforeAutospacing="true" w:afterAutospacing="true"/>
        <w:rPr>
          <w:rFonts w:cs="Arial"/>
        </w:rPr>
      </w:pPr>
      <w:r>
        <w:rPr>
          <w:rFonts w:cs="Arial"/>
        </w:rPr>
        <w:t xml:space="preserve">By correlating housing stability with the SDOH it will provide Salt Lake County with the ability to measure the impact of the public services investment by implementing a cloud-based technology that provides the client/resident control and door opening to their access to opportunities.   </w:t>
      </w:r>
    </w:p>
    <w:p>
      <w:pPr>
        <w:spacing w:beforeAutospacing="true" w:afterAutospacing="true"/>
        <w:rPr>
          <w:rFonts w:cs="Arial"/>
        </w:rPr>
      </w:pPr>
      <w:r>
        <w:rPr>
          <w:rFonts w:cs="Arial"/>
        </w:rPr>
        <w:t xml:space="preserve"> </w:t>
      </w:r>
    </w:p>
    <w:p>
      <w:pPr>
        <w:rPr>
          <w:rFonts w:cs="Arial"/>
        </w:rPr>
      </w:pPr>
    </w:p>
    <w:p>
      <w:pPr>
        <w:rPr>
          <w:b/>
          <w:sz w:val="24"/>
          <w:szCs w:val="24"/>
        </w:rPr>
      </w:pPr>
      <w:r>
        <w:rPr>
          <w:b/>
          <w:sz w:val="24"/>
          <w:szCs w:val="24"/>
        </w:rPr>
        <w:t>Based on the needs analysis above, describe the State's needs in Colonias</w:t>
      </w:r>
    </w:p>
    <w:p>
      <w:pPr>
        <w:rPr>
          <w:rFonts w:cs="Arial"/>
        </w:rPr>
      </w:pPr>
      <w:r>
        <w:rPr>
          <w:rFonts w:cs="Arial"/>
        </w:rPr>
      </w:r>
    </w:p>
    <w:p>
      <w:pPr>
        <w:spacing w:line="204" w:lineRule="auto"/>
        <w:rPr>
          <w:rFonts w:cs="Arial"/>
        </w:rPr>
        <w:sectPr>
          <w:pgSz w:w="12240" w:h="15840"/>
          <w:pgMar w:top="1440" w:right="1440" w:bottom="1440" w:left="1440" w:header="720" w:footer="720" w:gutter="0"/>
          <w:cols w:space="720"/>
          <w:docGrid w:linePitch="360"/>
        </w:sectPr>
      </w:pPr>
    </w:p>
    <w:p>
      <w:pPr>
        <w:pStyle w:val="Heading1"/>
        <w:pageBreakBefore/>
        <w:jc w:val="center"/>
        <w:rPr>
          <w:rFonts w:ascii="Calibri" w:hAnsi="Calibri"/>
          <w:color w:val="auto"/>
          <w:sz w:val="32"/>
          <w:szCs w:val="32"/>
        </w:rPr>
      </w:pPr>
      <w:r>
        <w:rPr>
          <w:rFonts w:ascii="Calibri" w:hAnsi="Calibri"/>
          <w:color w:val="auto"/>
          <w:sz w:val="32"/>
          <w:szCs w:val="32"/>
        </w:rPr>
        <w:t>Housing Market Analysis</w:t>
      </w:r>
    </w:p>
    <w:p>
      <w:pPr>
        <w:pStyle w:val="Heading2"/>
        <w:rPr>
          <w:rFonts w:ascii="Calibri" w:hAnsi="Calibri"/>
          <w:i w:val="false"/>
        </w:rPr>
      </w:pPr>
      <w:r>
        <w:rPr>
          <w:rFonts w:ascii="Calibri" w:hAnsi="Calibri"/>
          <w:i w:val="false"/>
        </w:rPr>
        <w:t>MA-05 Overview</w:t>
      </w:r>
    </w:p>
    <w:p>
      <w:pPr>
        <w:rPr>
          <w:b/>
          <w:sz w:val="24"/>
          <w:szCs w:val="24"/>
        </w:rPr>
      </w:pPr>
      <w:r>
        <w:rPr>
          <w:b/>
          <w:sz w:val="24"/>
          <w:szCs w:val="24"/>
        </w:rPr>
        <w:t>Housing Market Analysis Overview:</w:t>
      </w:r>
    </w:p>
    <w:p>
      <w:pPr>
        <w:spacing w:beforeAutospacing="true" w:afterAutospacing="true"/>
        <w:rPr>
          <w:rFonts w:cs="Arial"/>
        </w:rPr>
      </w:pPr>
      <w:r>
        <w:rPr>
          <w:rFonts w:cs="Arial"/>
          <w:b/>
        </w:rPr>
        <w:t xml:space="preserve">Housing Market Characteristics</w:t>
      </w:r>
    </w:p>
    <w:p>
      <w:pPr>
        <w:spacing w:beforeAutospacing="true" w:afterAutospacing="true"/>
        <w:rPr>
          <w:rFonts w:cs="Arial"/>
        </w:rPr>
      </w:pPr>
      <w:r>
        <w:rPr>
          <w:rFonts w:cs="Arial"/>
        </w:rPr>
        <w:t xml:space="preserve">According to the U.S. Census Bureau Salt Lake County (excluding Salt Lake City) housing market had an estimated total of 317,090 housing units, 301,117 of these units were occupied and 15,973 were vacant in 2018.  The number of owner occupied units was 261,471 units, 72% of occupied units.  Rental occupied units accounted for 84,646, 28% of occupied units. The median sales of an existing home increased by 7% in 2019 to $380,000.  Two years ago, the median sales price was $325,000. Rental rates in 2019 were up 6.8%.  The rental vacancy rate was at 3.4%, and 2019 was the eighth consecutive year the rental vacancy rate was below 4%.  In 2019 the home sales market was exceptionally strong. The average days on the market before a home sold was only 23 days.  Two years ago, the median days on the market for an existing home was at an all-time low of 15 days.  A housing shortage has characterized the Salt Lake County market over the past five years.</w:t>
      </w:r>
    </w:p>
    <w:p>
      <w:pPr>
        <w:spacing w:beforeAutospacing="true" w:afterAutospacing="true"/>
        <w:rPr>
          <w:rFonts w:cs="Arial"/>
        </w:rPr>
      </w:pPr>
      <w:r>
        <w:rPr>
          <w:rFonts w:cs="Arial"/>
        </w:rPr>
        <w:t xml:space="preserve"> The housing shortage and the rapid rise in both home prices and rental rates have been particularly burdensome for special needs households; the elderly, large families, single-parent, minority, disabled, victims of domestic violence, and households with a member with HIV/AIDS.  A disproportionate share of these special needs households are very low and extremely low-income renters.  Apartment developers can't produce affordable rental units for households below 50% AMI, with the exception of tax credit units, which rarely reach households below 30% AMI. Special needs households face a persistent shortage of safe, affordable housing.</w:t>
      </w:r>
    </w:p>
    <w:p>
      <w:pPr>
        <w:spacing w:beforeAutospacing="true" w:afterAutospacing="true"/>
        <w:rPr>
          <w:rFonts w:cs="Arial"/>
        </w:rPr>
      </w:pPr>
      <w:r>
        <w:rPr>
          <w:rFonts w:cs="Arial"/>
        </w:rPr>
        <w:t xml:space="preserve"> Three new resources centers provide housing to Salt Lake City homeless population.  The Gail Miller Resource Center (Salt Lake City) has 200 beds for men and women, the Geraldine King Women's Center (Salt Lake City) has 200 beds for women, and the Men's Resource Center (South Salt Lake) has 300 beds.  An additional 300 beds are in the family Shelter in Midvale.  Although facilities for 700 beds have recently been completed, the resources centers are fully occupied.  Homeless overflow has people sleeping on the floor in St. Vincent de Paul dining room. More beds are needed for homeless persons and those in need of permanent supportive housing.</w:t>
      </w:r>
    </w:p>
    <w:p>
      <w:pPr>
        <w:spacing w:beforeAutospacing="true" w:afterAutospacing="true"/>
        <w:rPr>
          <w:rFonts w:cs="Arial"/>
        </w:rPr>
      </w:pPr>
      <w:r>
        <w:rPr>
          <w:rFonts w:cs="Arial"/>
        </w:rPr>
        <w:t xml:space="preserve"> The greatest regulatory barriers to affordable housing are zoning ordinances, which increase the cost of housing, delay development, and limit the supply.  Zoning ordinances reflect the sentiment of the community, and NIMBYism has been and is the greatest impediment to increasing the supply of affordable housing.</w:t>
      </w:r>
    </w:p>
    <w:p>
      <w:pPr>
        <w:spacing w:beforeAutospacing="true" w:afterAutospacing="true"/>
        <w:rPr>
          <w:rFonts w:cs="Arial"/>
        </w:rPr>
      </w:pPr>
      <w:r>
        <w:rPr>
          <w:rFonts w:cs="Arial"/>
        </w:rPr>
        <w:t xml:space="preserve"> </w:t>
      </w:r>
      <w:r>
        <w:rPr>
          <w:rFonts w:cs="Arial"/>
        </w:rPr>
        <w:t xml:space="preserve">The Salt Lake County economy has an employment base of 738,300 non-farm workers, 440,000 of these jobs are located outside of Salt Lake City and in Salt Lake County.  This workforce represents about one-third of all jobs in the state.  The largest employment sectors are retail trade and health care. The unemployment rate of 2.2% in Salt Lake County in December 2019 was the lowest in 70 years.  The number of jobs in Salt Lake County (excluding Salt Lake City) increases by about 10,000 jobs annually.  The county economy is primarily a service economy.</w:t>
      </w:r>
    </w:p>
    <w:p>
      <w:r>
        <w:rPr>
          <w:rFonts w:cs="Arial"/>
          <w:b/>
        </w:rPr>
        <w:t>Impact of COVID 19 on Employment and Housing</w:t>
      </w:r>
    </w:p>
    <w:p>
      <w:pPr>
        <w:spacing w:beforeAutospacing="true" w:afterAutospacing="true"/>
        <w:rPr>
          <w:rFonts w:cs="Arial"/>
        </w:rPr>
      </w:pPr>
      <w:r>
        <w:rPr/>
        <w:t xml:space="preserve">The COVID-19 induced recession will have a significant impact on employment and housing in Salt Lake County.  The employment forecast for the state predicts a job loss of 100,000 in 2020, approximately 30,000 of those jobs will be located in Salt Lake County (excluding Salt Lake City).  Job losses and the associated reduced level of net in-migration will weaken housing demand.</w:t>
      </w:r>
    </w:p>
    <w:p>
      <w:pPr>
        <w:spacing w:beforeAutospacing="true" w:afterAutospacing="true"/>
        <w:rPr>
          <w:rFonts w:cs="Arial"/>
        </w:rPr>
      </w:pPr>
      <w:r>
        <w:rPr/>
        <w:t xml:space="preserve"> </w:t>
      </w:r>
    </w:p>
    <w:p>
      <w:pPr>
        <w:spacing w:beforeAutospacing="true" w:afterAutospacing="true"/>
        <w:rPr>
          <w:rFonts w:cs="Arial"/>
        </w:rPr>
      </w:pPr>
      <w:r>
        <w:rPr/>
        <w:t xml:space="preserve">The forecast for new residential construction shows the number of residential permits in 2020 to fall by 25%–30%, a decline of somewhere around 1,500 units in Salt Lake County (excluding Salt Lake City). Severe economic contractions cause buyers and sellers to head for the sidelines. The suddenness, severity, and uncertainty of this downturn will cause some developers and buyers to postpone transactions that would have occurred in the spring and summer of 2020. Another factor that could hamper residential construction is the disruption in the construction industry supply chain. China supplies 30% of construction materials. Furthermore, the approval process for new developments will likely be extended as city and county personnel work remotely. Overall, 2020 will be the most challenging for the homebuilding industry since the Great Recession bottomed in 2011.</w:t>
      </w:r>
    </w:p>
    <w:p>
      <w:pPr>
        <w:spacing w:beforeAutospacing="true" w:afterAutospacing="true"/>
        <w:rPr>
          <w:rFonts w:cs="Arial"/>
        </w:rPr>
      </w:pPr>
      <w:r>
        <w:rPr/>
        <w:t xml:space="preserve"> </w:t>
      </w:r>
    </w:p>
    <w:p>
      <w:pPr>
        <w:spacing w:beforeAutospacing="true" w:afterAutospacing="true"/>
        <w:rPr>
          <w:rFonts w:cs="Arial"/>
        </w:rPr>
      </w:pPr>
      <w:r>
        <w:rPr>
          <w:i/>
        </w:rPr>
        <w:t xml:space="preserve">Single-Family Construction</w:t>
      </w:r>
      <w:r>
        <w:rPr/>
        <w:t xml:space="preserve">—There were no signs in 2019 that the single-family market was overbuilt. The number of new homes receiving building permits in Salt Lake County (excluding Salt Lake City) was 5,900 units slightly below 2017 and 2018, and still well below the pre–Great Recession peak.  Homebuilders reported strong demand for their product, and they held little in the way of speculative inventory. The single-family market, however, will not be insulated entirely from market headwinds. The initial shock of the economic shutdown, combined with social distancing and the stay-at-home directive will slow new construction activity and sales, particularly in the second quarter. For the year, the number of permits issued for single-family homes will be down 10%–15%—a smaller decline than the 45% drop in the fourth quarter of 2008 during the Great Recession.  Unlike 2008-2011 credit is available, and mortgage rates are near historic lows. This critical distinction will cushion the downside for the new single-family market.</w:t>
      </w:r>
    </w:p>
    <w:p>
      <w:pPr>
        <w:spacing w:beforeAutospacing="true" w:afterAutospacing="true"/>
        <w:rPr>
          <w:rFonts w:cs="Arial"/>
        </w:rPr>
      </w:pPr>
      <w:r>
        <w:rPr>
          <w:i/>
        </w:rPr>
        <w:t xml:space="preserve"> </w:t>
      </w:r>
    </w:p>
    <w:p>
      <w:pPr>
        <w:spacing w:beforeAutospacing="true" w:afterAutospacing="true"/>
        <w:rPr>
          <w:rFonts w:cs="Arial"/>
        </w:rPr>
      </w:pPr>
      <w:r>
        <w:rPr>
          <w:i/>
        </w:rPr>
        <w:t xml:space="preserve">Condominium and Townhome Construction</w:t>
      </w:r>
      <w:r>
        <w:rPr/>
        <w:t xml:space="preserve">—The number of permits issued for condominium and townhome units accelerated in recent years, reaching the two highest years on record, 2018-2019 for Salt Lake County (excluding Salt Lake City).  In 2019 the number of condominium units receiving permits in Salt Lake County (excluding Salt Lake City) was 1,733 units. The investor market drove some of the recent surge in demand. Hundreds of condominium and townhome units over the past few years have been sold to investors buying three to four units to rent. Investors are unlikely to have the same appetite for rental units during a serious stock market correction and historic job losses. A pullback by investors will cut into demand, and buyer interest will probably fade some as well. The young, moderate-income household is the primary target market for condominiums, and these households are more vulnerable to the uncertainties of the job market and more likely to postpone home-buying decisions, either by choice or necessity. Weaker demand from investors and buyers will shave 15%–20% off the number of condominium and townhome permits in 2020.</w:t>
      </w:r>
    </w:p>
    <w:p>
      <w:r>
        <w:rPr>
          <w:rFonts w:cs="Arial"/>
          <w:b/>
        </w:rPr>
        <w:t>Impact of COVID 19</w:t>
      </w:r>
    </w:p>
    <w:p>
      <w:pPr>
        <w:spacing w:beforeAutospacing="true" w:afterAutospacing="true"/>
        <w:rPr>
          <w:rFonts w:cs="Arial"/>
        </w:rPr>
      </w:pPr>
      <w:r>
        <w:rPr>
          <w:i/>
        </w:rPr>
        <w:t xml:space="preserve">Apartment Construction</w:t>
      </w:r>
      <w:r>
        <w:rPr/>
        <w:t xml:space="preserve">—The apartment boom in Salt Lake County has been under way since 2014. Salt Lake City has nearly 40 percent of the new rental units development in recent years. The suburban market has been strong as well with six consecutive years above 1,500 new rental units. Even without COVID-19, apartment construction was likely headed lower in 2020. Given the current environment, some developers will delay potential projects due to weaker market conditions as well as less advantageous financial markets, thereby pushing apartment construction activity lower. The number of permits issued for apartment units will experience a substantial drop in activity in 2020, falling by 45%–50%.</w:t>
      </w:r>
    </w:p>
    <w:p>
      <w:pPr>
        <w:spacing w:beforeAutospacing="true" w:afterAutospacing="true"/>
        <w:rPr>
          <w:rFonts w:cs="Arial"/>
        </w:rPr>
      </w:pPr>
      <w:r>
        <w:rPr>
          <w:i/>
        </w:rPr>
        <w:t xml:space="preserve"> </w:t>
      </w:r>
    </w:p>
    <w:p>
      <w:pPr>
        <w:spacing w:beforeAutospacing="true" w:afterAutospacing="true"/>
        <w:rPr>
          <w:rFonts w:cs="Arial"/>
        </w:rPr>
      </w:pPr>
      <w:r>
        <w:rPr>
          <w:i/>
        </w:rPr>
        <w:t xml:space="preserve">Existing Homes Sales - </w:t>
      </w:r>
      <w:r>
        <w:rPr/>
        <w:t xml:space="preserve">While not as vulnerable as the homebuilder, real estate agents will face similar challenges: extreme market uncertainty and reluctant buyers and sellers. So far, financial market liquidity has not been affected by COVID-19; in fact, the pandemic has kept mortgage rates near historic lows. The performance of the residential real estate market in 2020 comes down to whether economic uncertainty offsets the advantage of low-interest rates. A share of both potential buyers and sellers will feel it's to their advantage to wait six to 12 months before entering the market, while others will see the current market as a buying opportunity. However, the impossible-to-ignore job losses could seriously dampen demand in the second quarter. But, as the economy recovers in the second half of the year, strong demand for homes will follow, and sales of existing homes, condominiums, and townhomes will finish the year down 15%–20%.</w:t>
      </w:r>
    </w:p>
    <w:p>
      <w:pPr>
        <w:spacing w:beforeAutospacing="true" w:afterAutospacing="true"/>
        <w:rPr>
          <w:rFonts w:cs="Arial"/>
        </w:rPr>
      </w:pPr>
      <w:r>
        <w:rPr/>
        <w:t xml:space="preserve"> </w:t>
      </w:r>
    </w:p>
    <w:p>
      <w:pPr>
        <w:spacing w:beforeAutospacing="true" w:afterAutospacing="true"/>
        <w:rPr>
          <w:rFonts w:cs="Arial"/>
        </w:rPr>
      </w:pPr>
      <w:r>
        <w:rPr>
          <w:i/>
        </w:rPr>
        <w:t xml:space="preserve">Home Prices and Rental Rates - </w:t>
      </w:r>
      <w:r>
        <w:rPr/>
        <w:t xml:space="preserve">Home prices will see little change in 2020 provided the anticipated job recovery, in the third and fourth quarters, arrives on schedule. In 2020 Salt Lake County’s median sales price for all types of residential units was $342,000 and $380,000 for single family homes. Rental rates are more likely to decline as job and income losses force some tenants to move out and double-up with friends and family. . The long string of annual rate increases will be interrupted in 2020 with </w:t>
      </w:r>
      <w:r>
        <w:rPr/>
        <w:t xml:space="preserve">rents</w:t>
      </w:r>
      <w:r>
        <w:rPr/>
        <w:t xml:space="preserve"> flat at best and </w:t>
      </w:r>
      <w:r>
        <w:rPr/>
        <w:t xml:space="preserve">possibly </w:t>
      </w:r>
      <w:r>
        <w:rPr/>
        <w:t xml:space="preserve">fall</w:t>
      </w:r>
      <w:r>
        <w:rPr/>
        <w:t xml:space="preserve">ing</w:t>
      </w:r>
      <w:r>
        <w:rPr/>
        <w:t xml:space="preserve"> 3%–4%.</w:t>
      </w:r>
    </w:p>
    <w:p>
      <w:pPr>
        <w:spacing w:beforeAutospacing="true" w:afterAutospacing="true"/>
        <w:rPr>
          <w:rFonts w:cs="Arial"/>
        </w:rPr>
      </w:pPr>
      <w:r>
        <w:rPr>
          <w:b/>
        </w:rPr>
        <w:t xml:space="preserve"> </w:t>
      </w:r>
    </w:p>
    <w:p>
      <w:pPr>
        <w:spacing w:beforeAutospacing="true" w:afterAutospacing="true"/>
        <w:rPr>
          <w:rFonts w:cs="Arial"/>
        </w:rPr>
      </w:pPr>
      <w:r>
        <w:rPr>
          <w:i/>
        </w:rPr>
        <w:t xml:space="preserve">Rental Market</w:t>
      </w:r>
      <w:r>
        <w:rPr>
          <w:b/>
        </w:rPr>
        <w:t xml:space="preserve"> - </w:t>
      </w:r>
      <w:r>
        <w:rPr/>
        <w:t xml:space="preserve">The rental market is bound to see higher vacancy rates. Over the last four or five years, the vacancy rates in Wasatch Front markets have consistently been below 4%. In recent months, however, rates had started to move higher due to the completion of several new projects. The increasing supply of rental units combined with the loss of nearly 100,000 jobs statewide and 30,000 jobs in Salt Lake County (excluding Salt Lake City) will put serious pressure on the market and inevitably push vacancy rates higher.</w:t>
      </w:r>
    </w:p>
    <w:p>
      <w:pPr>
        <w:spacing w:beforeAutospacing="true" w:afterAutospacing="true"/>
        <w:rPr>
          <w:rFonts w:cs="Arial"/>
        </w:rPr>
      </w:pPr>
      <w:r>
        <w:rPr/>
        <w:t xml:space="preserve"> </w:t>
      </w:r>
    </w:p>
    <w:p>
      <w:pPr>
        <w:spacing w:beforeAutospacing="true" w:afterAutospacing="true"/>
        <w:rPr>
          <w:rFonts w:cs="Arial"/>
        </w:rPr>
      </w:pPr>
      <w:r>
        <w:rPr/>
        <w:t xml:space="preserve">The rental market is particularly vulnerable to recessions, but fortunately the CARES Act, through the expansion of unemployment insurance, will shield many landlords and renters, at least for a while, from a major loss in revenue and tenants. . Vacancy rates throughout the Wasatch Front are currently between 5%–6%. I expect rates to move up </w:t>
      </w:r>
      <w:r>
        <w:rPr/>
        <w:t xml:space="preserve">2–3 percentage points</w:t>
      </w:r>
      <w:r>
        <w:rPr/>
        <w:t xml:space="preserve"> as recently completed projects experience slow rates of absorption, and existing projects see an increased rate of move-outs.</w:t>
      </w:r>
    </w:p>
    <w:p>
      <w:pPr>
        <w:spacing w:beforeAutospacing="true" w:afterAutospacing="true"/>
        <w:rPr>
          <w:rFonts w:cs="Arial"/>
        </w:rPr>
      </w:pPr>
      <w:r>
        <w:rPr/>
        <w:t xml:space="preserve"> </w:t>
      </w:r>
    </w:p>
    <w:p>
      <w:r>
        <w:rPr>
          <w:rFonts w:cs="Arial"/>
          <w:b/>
        </w:rPr>
        <w:t>CARES Act</w:t>
      </w:r>
    </w:p>
    <w:p>
      <w:pPr>
        <w:spacing w:beforeAutospacing="true" w:afterAutospacing="true"/>
        <w:rPr>
          <w:rFonts w:cs="Arial"/>
        </w:rPr>
      </w:pPr>
      <w:r>
        <w:rPr>
          <w:i/>
        </w:rPr>
        <w:t xml:space="preserve">CARES Act</w:t>
      </w:r>
      <w:r>
        <w:rPr/>
        <w:t xml:space="preserve"> - The CARES Act provides only limited protection for renters.  Eviction protection is available for renters in apartment units backed by loans from Fannie Mae, Freddie Mac, FHA, and HUD and USDA rent assisted units (tax credit, project-based units, voucher holders, 515, 202, and 815 units).</w:t>
      </w:r>
    </w:p>
    <w:p>
      <w:pPr>
        <w:spacing w:beforeAutospacing="true" w:afterAutospacing="true"/>
        <w:rPr>
          <w:rFonts w:cs="Arial"/>
        </w:rPr>
      </w:pPr>
      <w:r>
        <w:rPr/>
        <w:t xml:space="preserve"> </w:t>
      </w:r>
    </w:p>
    <w:p>
      <w:pPr>
        <w:spacing w:beforeAutospacing="true" w:afterAutospacing="true"/>
        <w:rPr>
          <w:rFonts w:cs="Arial"/>
        </w:rPr>
      </w:pPr>
      <w:r>
        <w:rPr/>
        <w:t xml:space="preserve">The CARES Act:</w:t>
      </w:r>
    </w:p>
    <w:p>
      <w:pPr>
        <w:spacing w:beforeAutospacing="true" w:afterAutospacing="true"/>
        <w:rPr>
          <w:rFonts w:cs="Arial"/>
        </w:rPr>
      </w:pPr>
      <w:r>
        <w:rPr/>
        <w:t xml:space="preserve">â¿Halts evictions of renters living in single-family and multifamily properties with federally backed mortgages (Fannie Mae, Freddie Mac, FHA and HUD, and USDA Assisted Units) for 120 days after its enactment, </w:t>
      </w:r>
      <w:r>
        <w:rPr>
          <w:i/>
        </w:rPr>
        <w:t xml:space="preserve">regardless of whether the landlord receives forbearance</w:t>
      </w:r>
      <w:r>
        <w:rPr/>
        <w:t xml:space="preserve">.</w:t>
      </w:r>
    </w:p>
    <w:p>
      <w:pPr>
        <w:spacing w:beforeAutospacing="true" w:afterAutospacing="true"/>
        <w:rPr>
          <w:rFonts w:cs="Arial"/>
        </w:rPr>
      </w:pPr>
      <w:r>
        <w:rPr/>
        <w:t xml:space="preserve"> </w:t>
      </w:r>
    </w:p>
    <w:p>
      <w:pPr>
        <w:spacing w:beforeAutospacing="true" w:afterAutospacing="true"/>
        <w:rPr>
          <w:rFonts w:cs="Arial"/>
        </w:rPr>
      </w:pPr>
      <w:r>
        <w:rPr/>
        <w:t xml:space="preserve">â¿Halts evictions of renters from federally backed multifamily properties (see above) whose landlords receive forbearance, effective for the duration of the forbearance, which is capped at 90 days.</w:t>
      </w:r>
    </w:p>
    <w:p>
      <w:pPr>
        <w:spacing w:beforeAutospacing="true" w:afterAutospacing="true"/>
        <w:rPr>
          <w:rFonts w:cs="Arial"/>
        </w:rPr>
      </w:pPr>
      <w:r>
        <w:rPr/>
        <w:t xml:space="preserve"> </w:t>
      </w:r>
    </w:p>
    <w:p>
      <w:pPr>
        <w:spacing w:beforeAutospacing="true" w:afterAutospacing="true"/>
        <w:rPr>
          <w:rFonts w:cs="Arial"/>
        </w:rPr>
      </w:pPr>
      <w:r>
        <w:rPr/>
        <w:t xml:space="preserve">The Urban Institute estimates that 28% of renters live in Fannie Mae, Freddie Mac, and FHA backed rental housing.  Applying this ratio to the number of renters in Salt Lake County (excluding Salt Lake City) of 85,000 produces an estimate of 23,800 renters with eviction protection from the CARES Act.  In addition, there are 7,000 renters in Salt Lake County (excluding Salt Lake City) in HUD plus another 2,500 renters with Section 8 housing vouchers from Housing Connect (formerly the Housing Authority of Salt Lake County). Therefore, the total number of renters protected, for 120 days, from eviction by the CARES Act is about 33,000.  This leaves approximately 52,000 renters without eviction protection from the CARES Act.  Many of these renter households are likely to include individuals who are not covered by Unemployment Insurance.  At least 30,000 individuals in Salt Lake County (excluding Salt Lake City) have lost their jobs since March and have not applied or are not covered by Unemployment Insurance.  A share of the “not covered” or ineligible workers probably includes many of the 75,000 undocumented workers in Utah. </w:t>
      </w:r>
    </w:p>
    <w:p>
      <w:pPr>
        <w:spacing w:beforeAutospacing="true" w:afterAutospacing="true"/>
        <w:rPr>
          <w:rFonts w:cs="Arial"/>
        </w:rPr>
      </w:pPr>
      <w:r>
        <w:rPr/>
        <w:t xml:space="preserve"> </w:t>
      </w:r>
    </w:p>
    <w:p>
      <w:pPr>
        <w:spacing w:beforeAutospacing="true" w:afterAutospacing="true"/>
        <w:rPr>
          <w:rFonts w:cs="Arial"/>
        </w:rPr>
      </w:pPr>
      <w:r>
        <w:rPr/>
        <w:t xml:space="preserve">The data suggest a sizeable number (tens of thousands) of renters do not have eviction protection from the CARES Act, and many of these same renters are also likely to lack Unemployment Insurance coverage.  These renters and their households are the most vulnerable for housing insecurity and homelessness.</w:t>
      </w:r>
    </w:p>
    <w:p>
      <w:pPr>
        <w:spacing w:beforeAutospacing="true" w:afterAutospacing="true"/>
        <w:rPr>
          <w:rFonts w:cs="Arial"/>
        </w:rPr>
      </w:pPr>
      <w:r>
        <w:rPr/>
        <w:t xml:space="preserve"> </w:t>
      </w:r>
    </w:p>
    <w:p>
      <w:pPr>
        <w:spacing w:beforeAutospacing="true" w:afterAutospacing="true"/>
        <w:rPr>
          <w:rFonts w:cs="Arial"/>
        </w:rPr>
      </w:pPr>
      <w:r>
        <w:rPr/>
        <w:t xml:space="preserve">The Executive Order issued by Governor Herbert provides an eviction moratorium for all renters in Utah who have suffered wage or job loss due to COVID-19.  Therefore, the moratorium covers those renters not covered by the CARES Act; however, the moratorium expired May 15, 2020 without an extension.  Salt Lake County is developing rental assistance programs for impacted households using CARES Act funds and Homes funds.</w:t>
      </w:r>
    </w:p>
    <w:p>
      <w:pPr>
        <w:spacing w:beforeAutospacing="true" w:afterAutospacing="true"/>
        <w:rPr>
          <w:rFonts w:cs="Arial"/>
        </w:rPr>
      </w:pPr>
      <w:r>
        <w:rPr/>
        <w:t xml:space="preserve"> </w:t>
      </w:r>
    </w:p>
    <w:p>
      <w:r>
        <w:rPr>
          <w:rFonts w:cs="Arial"/>
          <w:b/>
        </w:rPr>
        <w:t>Threat of forclosures</w:t>
      </w:r>
    </w:p>
    <w:p>
      <w:pPr>
        <w:spacing w:beforeAutospacing="true" w:afterAutospacing="true"/>
        <w:rPr>
          <w:rFonts w:cs="Arial"/>
        </w:rPr>
      </w:pPr>
      <w:r>
        <w:rPr/>
        <w:t xml:space="preserve">Two factors make a wave of foreclosures in the COVID-19 recession much less likely than in the Great Recession.  First, in 2020, homeowners are in much better financial shape than in the subprime market of 2005-2007.  Liar and ninja (no income no assets) loans no longer exist. Second, the CARES Act provides foreclosure protection and mortgage payment forbearance for homeowners in financial trouble due to COVID-19, whereas the Troubled Asset Relief Program (TARP) of 2008 targeted assistance to financial institutions at the exclusion of homeowner and renter assistance.  TARP provided the Treasury with the resources ($700 million) to purchases toxic loans, thus protecting financial institutions rather than homeowners and renters.  </w:t>
      </w:r>
    </w:p>
    <w:p>
      <w:pPr>
        <w:spacing w:beforeAutospacing="true" w:afterAutospacing="true"/>
        <w:rPr>
          <w:rFonts w:cs="Arial"/>
        </w:rPr>
      </w:pPr>
      <w:r>
        <w:rPr/>
        <w:t xml:space="preserve"> </w:t>
      </w:r>
    </w:p>
    <w:p>
      <w:pPr>
        <w:spacing w:beforeAutospacing="true" w:afterAutospacing="true"/>
        <w:rPr>
          <w:rFonts w:cs="Arial"/>
        </w:rPr>
      </w:pPr>
      <w:r>
        <w:rPr>
          <w:i/>
        </w:rPr>
        <w:t xml:space="preserve">Foreclosure protection</w:t>
      </w:r>
      <w:r>
        <w:rPr/>
        <w:t xml:space="preserve"> - Under the CARES Act, any lender or loan servicer of a federally backed mortgage loan (Fannie Mae, Freddie Mac, FHA, VA, and USDA) can't foreclose on a homeowner for 60 days after March 18, 2020.  </w:t>
      </w:r>
    </w:p>
    <w:p>
      <w:pPr>
        <w:spacing w:beforeAutospacing="true" w:afterAutospacing="true"/>
        <w:rPr>
          <w:rFonts w:cs="Arial"/>
        </w:rPr>
      </w:pPr>
      <w:r>
        <w:rPr/>
        <w:t xml:space="preserve"> </w:t>
      </w:r>
    </w:p>
    <w:p>
      <w:pPr>
        <w:spacing w:beforeAutospacing="true" w:afterAutospacing="true"/>
        <w:rPr>
          <w:rFonts w:cs="Arial"/>
        </w:rPr>
      </w:pPr>
      <w:r>
        <w:rPr>
          <w:i/>
        </w:rPr>
        <w:t xml:space="preserve">Forbearance protection</w:t>
      </w:r>
      <w:r>
        <w:rPr/>
        <w:t xml:space="preserve"> - Homeowners experiencing financial hardship due to COVID-19 have the right to request forbearance from federally backed loans (see above) for up to 180 days. These financially distressed homeowners also have the right to request an additional 180-day forbearance extension.  Forbearance provides a pause in payments of 6 to 12 months. Forbearance does not mean forgiveness. Homeowners are required, in the future, to repay any missed or reduced payments.  The repayment arrangements depend on the financial institution and type of loan, but can include; lump-sum payment, modified loan, or extension of the loan’s term.</w:t>
      </w:r>
    </w:p>
    <w:p>
      <w:pPr>
        <w:spacing w:beforeAutospacing="true" w:afterAutospacing="true"/>
        <w:rPr>
          <w:rFonts w:cs="Arial"/>
        </w:rPr>
      </w:pPr>
      <w:r>
        <w:rPr>
          <w:b/>
        </w:rPr>
        <w:t xml:space="preserve"> </w:t>
      </w:r>
    </w:p>
    <w:p>
      <w:pPr>
        <w:spacing w:beforeAutospacing="true" w:afterAutospacing="true"/>
        <w:rPr>
          <w:rFonts w:cs="Arial"/>
        </w:rPr>
      </w:pPr>
      <w:r>
        <w:rPr>
          <w:i/>
        </w:rPr>
        <w:t xml:space="preserve">Changes in Foreclosures Compared to Employment </w:t>
      </w:r>
      <w:r>
        <w:rPr/>
        <w:t xml:space="preserve">- Typically, the annual percentage increase in employment in Utah is around three percent, and the percentage of foreclosed homes sold as a share of total home sales is less than one percent. In the Great Recession, job growth turned negative, and the share of foreclosed homes increased to nearly 23% at the peak; that is, nearly one in four homes sold were bank-owned foreclosed properties.  Figure 1 shows the lag in the Great Recession between job losses and foreclosures.  Foreclosures lagged job losses by nearly 18 months.  The job recovery was well underway when foreclosures peaked in 2011.  The lag is probably overstated some due to the time from initial foreclosure action to the listing, by the bank, of the foreclosed property.</w:t>
      </w:r>
    </w:p>
    <w:p>
      <w:pPr>
        <w:spacing w:beforeAutospacing="true" w:afterAutospacing="true"/>
        <w:rPr>
          <w:rFonts w:cs="Arial"/>
        </w:rPr>
      </w:pPr>
      <w:r>
        <w:rPr/>
        <w:t xml:space="preserve"> </w:t>
      </w:r>
    </w:p>
    <w:p>
      <w:pPr>
        <w:spacing w:beforeAutospacing="true" w:afterAutospacing="true"/>
        <w:rPr>
          <w:rFonts w:cs="Arial"/>
        </w:rPr>
      </w:pPr>
      <w:r>
        <w:rPr/>
        <w:t xml:space="preserve">Given the foreclosure and forbearance provisions of the CARES Act and the consensus that the COVID-19 recession will not extend into 2021 it is very unlikely that the residential market will see a wave of foreclosures.</w:t>
      </w:r>
    </w:p>
    <w:p>
      <w:pPr>
        <w:spacing w:beforeAutospacing="true" w:afterAutospacing="true"/>
        <w:rPr>
          <w:rFonts w:cs="Arial"/>
        </w:rPr>
      </w:pPr>
      <w:r>
        <w:rPr>
          <w:b/>
        </w:rPr>
        <w:t xml:space="preserve"> </w:t>
      </w:r>
    </w:p>
    <w:p>
      <w:pPr>
        <w:spacing w:beforeAutospacing="true" w:afterAutospacing="true"/>
        <w:rPr>
          <w:rFonts w:cs="Arial"/>
        </w:rPr>
      </w:pPr>
      <w:r>
        <w:rPr/>
        <w:t xml:space="preserve">.</w:t>
      </w:r>
    </w:p>
    <w:p>
      <w:pPr>
        <w:spacing w:beforeAutospacing="true" w:afterAutospacing="true"/>
        <w:rPr>
          <w:rFonts w:cs="Arial"/>
        </w:rPr>
      </w:pPr>
      <w:r>
        <w:rPr/>
        <w:t xml:space="preserve"> </w:t>
      </w:r>
    </w:p>
    <w:p>
      <w:pPr>
        <w:spacing w:beforeAutospacing="true" w:afterAutospacing="true"/>
        <w:rPr>
          <w:rFonts w:cs="Arial"/>
        </w:rPr>
      </w:pPr>
      <w:r>
        <w:rPr>
          <w:b/>
        </w:rPr>
        <w:t xml:space="preserve"> </w:t>
      </w:r>
    </w:p>
    <w:p>
      <w:pPr>
        <w:spacing w:beforeAutospacing="true" w:afterAutospacing="true"/>
        <w:rPr>
          <w:rFonts w:cs="Arial"/>
        </w:rPr>
      </w:pPr>
    </w:p>
    <w:p>
      <w:r>
        <w:rPr>
          <w:rFonts w:cs="Arial"/>
          <w:b/>
        </w:rPr>
        <w:t>Home Mortgages</w:t>
      </w:r>
    </w:p>
    <w:p>
      <w:pPr>
        <w:spacing w:beforeAutospacing="true" w:afterAutospacing="true"/>
        <w:rPr>
          <w:rFonts w:cs="Arial"/>
        </w:rPr>
      </w:pPr>
      <w:r>
        <w:rPr/>
        <w:t xml:space="preserve"> </w:t>
      </w:r>
    </w:p>
    <w:p>
      <w:pPr>
        <w:spacing w:beforeAutospacing="true" w:afterAutospacing="true"/>
        <w:rPr>
          <w:rFonts w:cs="Arial"/>
        </w:rPr>
      </w:pPr>
      <w:r>
        <w:rPr>
          <w:b/>
        </w:rPr>
        <w:t xml:space="preserve">CARES Act: Federally Backed and Non-Federally Backed Home Mortgages (Table 1)</w:t>
      </w:r>
    </w:p>
    <w:p>
      <w:pPr>
        <w:spacing w:beforeAutospacing="true" w:afterAutospacing="true"/>
        <w:rPr>
          <w:rFonts w:cs="Arial"/>
        </w:rPr>
      </w:pPr>
      <w:r>
        <w:rPr/>
        <w:t xml:space="preserve">The federally backed mortgage loans that provide foreclosure and forbearance assistance for homeowners account for about 82% of all home mortgage loans in Salt Lake County (excluding Salt Lake City), a total of 128,100 loans. Non-federally backed or private mortgages total 28,100 homeowner loans.  Nearly one in five residential mortgages lack the CARES Act foreclosure and forbearance protection.</w:t>
      </w:r>
    </w:p>
    <w:p>
      <w:pPr>
        <w:spacing w:beforeAutospacing="true" w:afterAutospacing="true"/>
        <w:rPr>
          <w:rFonts w:cs="Arial"/>
        </w:rPr>
      </w:pPr>
      <w:r>
        <w:rPr/>
        <w:t xml:space="preserve"> </w:t>
      </w:r>
    </w:p>
    <w:p>
      <w:pPr>
        <w:spacing w:beforeAutospacing="true" w:afterAutospacing="true"/>
        <w:rPr>
          <w:rFonts w:cs="Arial"/>
        </w:rPr>
      </w:pPr>
      <w:r>
        <w:rPr>
          <w:b/>
        </w:rPr>
        <w:t xml:space="preserve">Table 1</w:t>
      </w:r>
    </w:p>
    <w:p>
      <w:pPr>
        <w:spacing w:beforeAutospacing="true" w:afterAutospacing="true"/>
        <w:rPr>
          <w:rFonts w:cs="Arial"/>
        </w:rPr>
      </w:pPr>
      <w:r>
        <w:rPr>
          <w:b/>
        </w:rPr>
        <w:t xml:space="preserve">Number of Federally and Non-Federally Backed Mortgages in Utah, 2019</w:t>
      </w:r>
    </w:p>
    <w:p>
      <w:pPr>
        <w:spacing w:beforeAutospacing="true" w:afterAutospacing="true"/>
        <w:rPr>
          <w:rFonts w:cs="Arial"/>
        </w:rPr>
      </w:pPr>
      <w:r>
        <w:rPr/>
        <w:t xml:space="preserve"> </w:t>
      </w:r>
    </w:p>
    <w:p>
      <w:pPr>
        <w:rPr>
          <w:rFonts w:cs="Arial"/>
        </w:rPr>
      </w:pPr>
      <w:r>
        <w:rPr>
          <w:rFonts w:cs="Arial"/>
          <w:b/>
        </w:rPr>
        <w:drawing>
          <wp:inline distT="0" distB="0" distL="0" distR="0">
            <wp:extent cx="3962400" cy="2316480"/>
            <wp:effectExtent l="0" t="0" r="0" b="0"/>
            <wp:docPr id="0" name="" descr=""/>
            <wp:cNvGraphicFramePr>
              <a:graphicFrameLocks noChangeAspect="true"/>
            </wp:cNvGraphicFramePr>
            <a:graphic>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962400" cy="2316480"/>
                    </a:xfrm>
                    <a:prstGeom prst="rect">
                      <a:avLst/>
                    </a:prstGeom>
                  </pic:spPr>
                </pic:pic>
              </a:graphicData>
            </a:graphic>
          </wp:inline>
        </w:drawing>
        <w:br/>
        <w:t>unemployment</w:t>
      </w:r>
    </w:p>
    <w:p>
      <w:pPr>
        <w:spacing w:after="0" w:line="240" w:lineRule="auto"/>
        <w:rPr>
          <w:rFonts w:cs="Arial"/>
        </w:rPr>
      </w:pPr>
      <w:r>
        <w:rPr>
          <w:rFonts w:cs="Arial"/>
        </w:rPr>
        <w:br w:type="page"/>
      </w:r>
    </w:p>
    <w:p>
      <w:pPr>
        <w:pStyle w:val="Heading2"/>
        <w:rPr>
          <w:rFonts w:ascii="Calibri" w:hAnsi="Calibri"/>
          <w:i w:val="false"/>
        </w:rPr>
        <w:sectPr>
          <w:pgSz w:w="12240" w:h="15840"/>
          <w:pgMar w:top="1440" w:right="1440" w:bottom="1440" w:left="1440" w:header="720" w:footer="720" w:gutter="0"/>
          <w:cols w:space="720"/>
          <w:docGrid w:linePitch="360"/>
        </w:sectPr>
      </w:pPr>
      <w:bookmarkStart w:id="2" w:name="_Toc309810479"/>
    </w:p>
    <w:p>
      <w:pPr>
        <w:pStyle w:val="Heading2"/>
        <w:rPr>
          <w:rFonts w:ascii="Calibri" w:hAnsi="Calibri"/>
        </w:rPr>
      </w:pPr>
      <w:r>
        <w:rPr>
          <w:rFonts w:ascii="Calibri" w:hAnsi="Calibri"/>
          <w:i w:val="false"/>
        </w:rPr>
        <w:t xml:space="preserve">MA-30 Homeless Facilities and Services - 91.410, 91.210(c) </w:t>
      </w:r>
      <w:r>
        <w:rPr>
          <w:rFonts w:ascii="Calibri" w:hAnsi="Calibri"/>
        </w:rPr>
        <w:t xml:space="preserve"> </w:t>
      </w:r>
      <w:bookmarkEnd w:id="2"/>
      <w:r>
        <w:rPr>
          <w:rFonts w:ascii="Calibri" w:hAnsi="Calibri"/>
        </w:rPr>
      </w:r>
    </w:p>
    <w:p>
      <w:pPr>
        <w:spacing w:line="204" w:lineRule="auto"/>
        <w:rPr>
          <w:b/>
        </w:rPr>
      </w:pPr>
      <w:r>
        <w:rPr>
          <w:b/>
          <w:sz w:val="24"/>
          <w:szCs w:val="24"/>
        </w:rPr>
        <w:t>Introduction</w:t>
      </w:r>
      <w:r>
        <w:rPr>
          <w:b/>
          <w:i/>
          <w:sz w:val="24"/>
          <w:szCs w:val="24"/>
        </w:rPr>
      </w:r>
    </w:p>
    <w:p>
      <w:pPr>
        <w:spacing w:beforeAutospacing="true" w:afterAutospacing="true"/>
        <w:rPr>
          <w:b/>
        </w:rPr>
      </w:pPr>
      <w:r>
        <w:rPr>
          <w:rFonts w:cs="Arial"/>
        </w:rPr>
        <w:t xml:space="preserve">Four facilities provide emergency shelter in Salt Lake County: (1) Men’s Resource Center in South Salt Lake, operated by The Road Home, 300 beds, (2) Gail Miller Resource Center (men and women) in Salt Lake City, operated by Catholic Community Services, 200 beds, (3) Geraldine E. King Women’s Resource Center Women’s in Salt Lake City, operated by Volunteers of America, 200 beds, and (4) Family Shelter in Midvale, operated by The Road Home, 300 beds.</w:t>
      </w:r>
    </w:p>
    <w:p>
      <w:pPr>
        <w:spacing w:beforeAutospacing="true" w:afterAutospacing="true"/>
        <w:rPr>
          <w:b/>
        </w:rPr>
      </w:pPr>
    </w:p>
    <w:p>
      <w:pPr>
        <w:keepNext/>
        <w:widowControl w:val="false"/>
        <w:rPr>
          <w:b/>
          <w:i/>
          <w:sz w:val="24"/>
          <w:szCs w:val="24"/>
        </w:rPr>
      </w:pPr>
      <w:r>
        <w:rPr>
          <w:b/>
          <w:sz w:val="24"/>
          <w:szCs w:val="24"/>
        </w:rPr>
        <w:t>Facilities Targeted to Homeless Persons</w:t>
      </w:r>
      <w:r>
        <w:rPr>
          <w:b/>
          <w:i/>
          <w:sz w:val="24"/>
          <w:szCs w:val="24"/>
        </w:rPr>
      </w:r>
    </w:p>
    <w:tbl>
      <w:tblPr>
        <w:tblW w:w="5000" w:type="pct"/>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firstRow="1" w:lastRow="1" w:firstColumn="1" w:lastColumn="1" w:noHBand="0" w:noVBand="0" w:val="01E0"/>
      </w:tblPr>
      <w:tblGrid>
        <w:gridCol w:w="3625"/>
        <w:gridCol w:w="2179"/>
        <w:gridCol w:w="1997"/>
        <w:gridCol w:w="1816"/>
        <w:gridCol w:w="1816"/>
        <w:gridCol w:w="1743"/>
      </w:tblGrid>
      <w:tr>
        <w:trPr>
          <w:cantSplit/>
          <w:tblHeader/>
        </w:trPr>
        <w:tc>
          <w:tcPr>
            <w:tcW w:w="3625" w:type="dxa"/>
            <w:vMerge w:val="restart"/>
          </w:tcPr>
          <w:p>
            <w:pPr>
              <w:keepNext/>
              <w:widowControl w:val="false"/>
              <w:spacing w:after="0" w:line="240" w:lineRule="auto"/>
              <w:jc w:val="center"/>
              <w:rPr>
                <w:b/>
              </w:rPr>
            </w:pPr>
          </w:p>
        </w:tc>
        <w:tc>
          <w:tcPr>
            <w:tcW w:w="4176" w:type="dxa"/>
            <w:gridSpan w:val="2"/>
          </w:tcPr>
          <w:p>
            <w:pPr>
              <w:keepNext/>
              <w:widowControl w:val="false"/>
              <w:spacing w:after="0" w:line="240" w:lineRule="auto"/>
              <w:jc w:val="center"/>
              <w:rPr>
                <w:b/>
              </w:rPr>
            </w:pPr>
            <w:r>
              <w:rPr>
                <w:b/>
                <w:szCs w:val="26"/>
              </w:rPr>
              <w:t>Emergency Shelter Beds</w:t>
            </w:r>
          </w:p>
        </w:tc>
        <w:tc>
          <w:tcPr>
            <w:tcW w:w="1816" w:type="dxa"/>
          </w:tcPr>
          <w:p>
            <w:pPr>
              <w:keepNext/>
              <w:widowControl w:val="false"/>
              <w:spacing w:after="0" w:line="240" w:lineRule="auto"/>
              <w:jc w:val="center"/>
              <w:rPr>
                <w:b/>
              </w:rPr>
            </w:pPr>
            <w:r>
              <w:rPr>
                <w:b/>
                <w:szCs w:val="26"/>
              </w:rPr>
              <w:t>Transitional Housing Beds</w:t>
            </w:r>
          </w:p>
        </w:tc>
        <w:tc>
          <w:tcPr>
            <w:tcW w:w="3559" w:type="dxa"/>
            <w:gridSpan w:val="2"/>
          </w:tcPr>
          <w:p>
            <w:pPr>
              <w:keepNext/>
              <w:widowControl w:val="false"/>
              <w:spacing w:after="0" w:line="240" w:lineRule="auto"/>
              <w:jc w:val="center"/>
              <w:rPr>
                <w:b/>
                <w:szCs w:val="26"/>
              </w:rPr>
            </w:pPr>
            <w:r>
              <w:rPr>
                <w:b/>
                <w:szCs w:val="26"/>
              </w:rPr>
              <w:t>Permanent Supportive Housing Beds</w:t>
            </w:r>
          </w:p>
        </w:tc>
      </w:tr>
      <w:tr>
        <w:trPr>
          <w:cantSplit/>
          <w:tblHeader/>
        </w:trPr>
        <w:tc>
          <w:tcPr>
            <w:tcW w:w="3625" w:type="dxa"/>
            <w:vMerge/>
          </w:tcPr>
          <w:p>
            <w:pPr>
              <w:keepNext/>
              <w:widowControl w:val="false"/>
              <w:spacing w:after="0" w:line="240" w:lineRule="auto"/>
              <w:jc w:val="center"/>
              <w:rPr>
                <w:b/>
              </w:rPr>
            </w:pPr>
          </w:p>
        </w:tc>
        <w:tc>
          <w:tcPr>
            <w:tcW w:w="2179" w:type="dxa"/>
          </w:tcPr>
          <w:p>
            <w:pPr>
              <w:keepNext/>
              <w:widowControl w:val="false"/>
              <w:spacing w:after="0" w:line="240" w:lineRule="auto"/>
              <w:jc w:val="center"/>
              <w:rPr>
                <w:b/>
              </w:rPr>
            </w:pPr>
            <w:r>
              <w:rPr>
                <w:b/>
                <w:szCs w:val="26"/>
              </w:rPr>
              <w:t>Year Round Beds (Current &amp; New)</w:t>
            </w:r>
          </w:p>
        </w:tc>
        <w:tc>
          <w:tcPr>
            <w:tcW w:w="1997" w:type="dxa"/>
          </w:tcPr>
          <w:p>
            <w:pPr>
              <w:keepNext/>
              <w:widowControl w:val="false"/>
              <w:spacing w:after="0" w:line="240" w:lineRule="auto"/>
              <w:jc w:val="center"/>
              <w:rPr>
                <w:b/>
              </w:rPr>
            </w:pPr>
            <w:r>
              <w:rPr>
                <w:b/>
                <w:szCs w:val="26"/>
              </w:rPr>
              <w:t>Voucher / Seasonal / Overflow Beds</w:t>
            </w:r>
          </w:p>
        </w:tc>
        <w:tc>
          <w:tcPr>
            <w:tcW w:w="1816" w:type="dxa"/>
          </w:tcPr>
          <w:p>
            <w:pPr>
              <w:keepNext/>
              <w:widowControl w:val="false"/>
              <w:spacing w:after="0" w:line="240" w:lineRule="auto"/>
              <w:jc w:val="center"/>
              <w:rPr>
                <w:b/>
              </w:rPr>
            </w:pPr>
            <w:r>
              <w:rPr>
                <w:b/>
                <w:szCs w:val="26"/>
              </w:rPr>
              <w:t>Current &amp; New</w:t>
            </w:r>
          </w:p>
        </w:tc>
        <w:tc>
          <w:tcPr>
            <w:tcW w:w="1816" w:type="dxa"/>
          </w:tcPr>
          <w:p>
            <w:pPr>
              <w:keepNext/>
              <w:widowControl w:val="false"/>
              <w:spacing w:after="0" w:line="240" w:lineRule="auto"/>
              <w:jc w:val="center"/>
              <w:rPr>
                <w:b/>
              </w:rPr>
            </w:pPr>
            <w:r>
              <w:rPr>
                <w:b/>
                <w:szCs w:val="26"/>
              </w:rPr>
              <w:t>Current &amp; New</w:t>
            </w:r>
          </w:p>
        </w:tc>
        <w:tc>
          <w:tcPr>
            <w:tcW w:w="1743" w:type="dxa"/>
          </w:tcPr>
          <w:p>
            <w:pPr>
              <w:keepNext/>
              <w:widowControl w:val="false"/>
              <w:spacing w:after="0" w:line="240" w:lineRule="auto"/>
              <w:jc w:val="center"/>
              <w:rPr>
                <w:b/>
              </w:rPr>
            </w:pPr>
            <w:r>
              <w:rPr>
                <w:b/>
                <w:szCs w:val="26"/>
              </w:rPr>
              <w:t>Under Development</w:t>
            </w:r>
          </w:p>
        </w:tc>
      </w:tr>
      <w:tr>
        <w:trPr>
          <w:cantSplit/>
        </w:trPr>
        <w:tc>
          <w:tcPr>
            <w:tcW w:w="13176" w:type="dxa"/>
            <w:gridSpan w:val="6"/>
          </w:tcPr>
          <w:p>
            <w:pPr>
              <w:keepNext/>
              <w:widowControl w:val="false"/>
              <w:spacing w:after="0" w:line="240" w:lineRule="auto"/>
            </w:pPr>
            <w:r/>
          </w:p>
        </w:tc>
      </w:tr>
      <w:tr>
        <w:trPr>
          <w:cantSplit w:val="true"/>
        </w:trPr>
        <w:tc>
          <w:tcPr>
            <w:vAlign w:val="top"/>
          </w:tcPr>
          <w:p>
            <w:pPr>
              <w:spacing w:beforeAutospacing="true" w:afterAutospacing="true"/>
              <w:jc w:val="left"/>
            </w:pPr>
            <w:r>
              <w:rPr>
                <w:rFonts w:ascii="Calibri" w:hAnsi="Calibri"/>
                <w:color w:val="000000"/>
                <w:sz w:val="22"/>
              </w:rPr>
              <w:t xml:space="preserve">Households with Adult(s) and Child(ren)</w:t>
            </w:r>
          </w:p>
        </w:tc>
        <w:tc>
          <w:tcPr>
            <w:vAlign w:val="bottom"/>
          </w:tcPr>
          <w:p>
            <w:pPr>
              <w:spacing w:beforeAutospacing="true" w:afterAutospacing="true"/>
              <w:jc w:val="right"/>
            </w:pPr>
            <w:r>
              <w:rPr>
                <w:rFonts w:ascii="Calibri" w:hAnsi="Calibri"/>
                <w:color w:val="000000"/>
                <w:sz w:val="22"/>
              </w:rPr>
              <w:t xml:space="preserve">280</w:t>
            </w:r>
          </w:p>
        </w:tc>
        <w:tc>
          <w:tcPr>
            <w:vAlign w:val="bottom"/>
          </w:tcPr>
          <w:p>
            <w:pPr>
              <w:spacing w:beforeAutospacing="true" w:afterAutospacing="true"/>
              <w:jc w:val="right"/>
            </w:pPr>
            <w:r>
              <w:rPr>
                <w:rFonts w:ascii="Calibri" w:hAnsi="Calibri"/>
                <w:color w:val="000000"/>
                <w:sz w:val="22"/>
              </w:rPr>
              <w:t xml:space="preserve">455</w:t>
            </w:r>
          </w:p>
        </w:tc>
        <w:tc>
          <w:tcPr>
            <w:vAlign w:val="bottom"/>
          </w:tcPr>
          <w:p>
            <w:pPr>
              <w:spacing w:beforeAutospacing="true" w:afterAutospacing="true"/>
              <w:jc w:val="right"/>
            </w:pPr>
            <w:r>
              <w:rPr>
                <w:rFonts w:ascii="Calibri" w:hAnsi="Calibri"/>
                <w:color w:val="000000"/>
                <w:sz w:val="22"/>
              </w:rPr>
              <w:t xml:space="preserve">764</w:t>
            </w:r>
          </w:p>
        </w:tc>
        <w:tc>
          <w:tcPr>
            <w:vAlign w:val="bottom"/>
          </w:tcPr>
          <w:p>
            <w:pPr>
              <w:spacing w:beforeAutospacing="true" w:afterAutospacing="true"/>
              <w:jc w:val="right"/>
            </w:pPr>
            <w:r>
              <w:rPr>
                <w:rFonts w:ascii="Calibri" w:hAnsi="Calibri"/>
                <w:color w:val="000000"/>
                <w:sz w:val="22"/>
              </w:rPr>
              <w:t xml:space="preserve">1,293</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top"/>
          </w:tcPr>
          <w:p>
            <w:pPr>
              <w:spacing w:beforeAutospacing="true" w:afterAutospacing="true"/>
              <w:jc w:val="left"/>
            </w:pPr>
            <w:r>
              <w:rPr>
                <w:rFonts w:ascii="Calibri" w:hAnsi="Calibri"/>
                <w:color w:val="000000"/>
                <w:sz w:val="22"/>
              </w:rPr>
              <w:t xml:space="preserve">Households with Only Adults</w:t>
            </w:r>
          </w:p>
        </w:tc>
        <w:tc>
          <w:tcPr>
            <w:vAlign w:val="bottom"/>
          </w:tcPr>
          <w:p>
            <w:pPr>
              <w:spacing w:beforeAutospacing="true" w:afterAutospacing="true"/>
              <w:jc w:val="right"/>
            </w:pPr>
            <w:r>
              <w:rPr>
                <w:rFonts w:ascii="Calibri" w:hAnsi="Calibri"/>
                <w:color w:val="000000"/>
                <w:sz w:val="22"/>
              </w:rPr>
              <w:t xml:space="preserve">766</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144</w:t>
            </w:r>
          </w:p>
        </w:tc>
        <w:tc>
          <w:tcPr>
            <w:vAlign w:val="bottom"/>
          </w:tcPr>
          <w:p>
            <w:pPr>
              <w:spacing w:beforeAutospacing="true" w:afterAutospacing="true"/>
              <w:jc w:val="right"/>
            </w:pPr>
            <w:r>
              <w:rPr>
                <w:rFonts w:ascii="Calibri" w:hAnsi="Calibri"/>
                <w:color w:val="000000"/>
                <w:sz w:val="22"/>
              </w:rPr>
              <w:t xml:space="preserve">1,193</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top"/>
          </w:tcPr>
          <w:p>
            <w:pPr>
              <w:spacing w:beforeAutospacing="true" w:afterAutospacing="true"/>
              <w:jc w:val="left"/>
            </w:pPr>
            <w:r>
              <w:rPr>
                <w:rFonts w:ascii="Calibri" w:hAnsi="Calibri"/>
                <w:color w:val="000000"/>
                <w:sz w:val="22"/>
              </w:rPr>
              <w:t xml:space="preserve">Chronically Homeless Households</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974</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top"/>
          </w:tcPr>
          <w:p>
            <w:pPr>
              <w:spacing w:beforeAutospacing="true" w:afterAutospacing="true"/>
              <w:jc w:val="left"/>
            </w:pPr>
            <w:r>
              <w:rPr>
                <w:rFonts w:ascii="Calibri" w:hAnsi="Calibri"/>
                <w:color w:val="000000"/>
                <w:sz w:val="22"/>
              </w:rPr>
              <w:t xml:space="preserve">Veterans</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225</w:t>
            </w:r>
          </w:p>
        </w:tc>
        <w:tc>
          <w:tcPr>
            <w:vAlign w:val="bottom"/>
          </w:tcPr>
          <w:p>
            <w:pPr>
              <w:spacing w:beforeAutospacing="true" w:afterAutospacing="true"/>
              <w:jc w:val="right"/>
            </w:pPr>
            <w:r>
              <w:rPr>
                <w:rFonts w:ascii="Calibri" w:hAnsi="Calibri"/>
                <w:color w:val="000000"/>
                <w:sz w:val="22"/>
              </w:rPr>
              <w:t xml:space="preserve">382</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top"/>
          </w:tcPr>
          <w:p>
            <w:pPr>
              <w:spacing w:beforeAutospacing="true" w:afterAutospacing="true"/>
              <w:jc w:val="left"/>
            </w:pPr>
            <w:r>
              <w:rPr>
                <w:rFonts w:ascii="Calibri" w:hAnsi="Calibri"/>
                <w:color w:val="000000"/>
                <w:sz w:val="22"/>
              </w:rPr>
              <w:t xml:space="preserve">Unaccompanied Youth</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r>
    </w:tbl>
    <w:p>
      <w:pPr>
        <w:pStyle w:val="Caption"/>
        <w:jc w:val="center"/>
        <w:rPr>
          <w:rFonts w:asciiTheme="minorHAnsi" w:hAnsiTheme="minorHAnsi"/>
        </w:rPr>
      </w:pPr>
      <w:r>
        <w:rPr>
          <w:rFonts w:asciiTheme="minorHAnsi" w:hAnsiTheme="minorHAnsi"/>
        </w:rPr>
        <w:t xml:space="preserve">Table </w:t>
        <w:fldChar w:fldCharType="begin"/>
        <w:instrText xml:space="preserve"> SEQ Table \* ARABIC </w:instrText>
        <w:fldChar w:fldCharType="separate"/>
        <w:t>9</w:t>
        <w:fldChar w:fldCharType="end"/>
        <w:t>- Facilities Targeted to Homeless Persons</w:t>
      </w:r>
      <w:r>
        <w:rPr>
          <w:rFonts w:asciiTheme="minorHAnsi" w:hAnsiTheme="minorHAnsi"/>
          <w:i/>
        </w:rPr>
      </w:r>
    </w:p>
    <w:tbl>
      <w:tblPr>
        <w:tblW w:w="5000" w:type="pct"/>
        <w:tblInd w:w="115" w:type="dxa"/>
        <w:tblLook w:firstRow="1" w:lastRow="1" w:firstColumn="1" w:lastColumn="1" w:noHBand="0" w:noVBand="0" w:val="01E0"/>
      </w:tblPr>
      <w:tblGrid>
        <w:gridCol w:w="1073"/>
        <w:gridCol w:w="12103"/>
      </w:tblGrid>
    </w:tbl>
    <w:p>
      <w:pPr>
        <w:keepNext/>
        <w:widowControl w:val="false"/>
        <w:spacing w:after="0" w:line="240" w:lineRule="auto"/>
        <w:jc w:val="center"/>
        <w:rPr>
          <w:b/>
          <w:bCs/>
          <w:vanish/>
          <w:sz w:val="20"/>
          <w:szCs w:val="20"/>
        </w:rPr>
      </w:pPr>
    </w:p>
    <w:p>
      <w:pPr>
        <w:spacing w:after="0" w:line="240" w:lineRule="auto"/>
        <w:rPr>
          <w:b/>
          <w:bCs/>
          <w:vanish/>
          <w:sz w:val="16"/>
          <w:szCs w:val="16"/>
        </w:rPr>
      </w:pPr>
    </w:p>
    <w:tbl>
      <w:tblPr>
        <w:tblW w:w="5000" w:type="pct"/>
        <w:tblInd w:w="115" w:type="dxa"/>
        <w:tblLook w:firstRow="1" w:lastRow="1" w:firstColumn="1" w:lastColumn="1" w:noHBand="0" w:noVBand="0" w:val="01E0"/>
      </w:tblPr>
      <w:tblGrid>
        <w:gridCol w:w="1973"/>
        <w:gridCol w:w="11203"/>
      </w:tblGrid>
      <w:tr>
        <w:trPr>
          <w:cantSplit/>
        </w:trPr>
        <w:tc>
          <w:tcPr>
            <w:tcW w:w="13176" w:type="dxa"/>
            <w:gridSpan w:val="2"/>
          </w:tcPr>
          <w:p>
            <w:pPr>
              <w:spacing w:after="0" w:line="240" w:lineRule="auto"/>
              <w:rPr>
                <w:rFonts w:cs="Arial"/>
                <w:sz w:val="16"/>
                <w:szCs w:val="16"/>
              </w:rPr>
            </w:pPr>
            <w:r>
              <w:rPr>
                <w:rFonts w:cs="Arial"/>
                <w:sz w:val="16"/>
                <w:szCs w:val="16"/>
              </w:rPr>
            </w:r>
          </w:p>
        </w:tc>
      </w:tr>
      <w:tr>
        <w:trPr>
          <w:cantSplit/>
        </w:trPr>
        <w:tc>
          <w:tcPr>
            <w:tcW w:w="1973" w:type="dxa"/>
          </w:tcPr>
          <w:p>
            <w:pPr>
              <w:spacing w:after="0" w:line="240" w:lineRule="auto"/>
              <w:rPr>
                <w:rFonts w:cs="Arial"/>
                <w:sz w:val="16"/>
                <w:szCs w:val="16"/>
              </w:rPr>
            </w:pPr>
            <w:r>
              <w:rPr>
                <w:b/>
                <w:bCs/>
                <w:sz w:val="16"/>
                <w:szCs w:val="16"/>
              </w:rPr>
              <w:t>Data Source Comments:</w:t>
            </w:r>
            <w:r>
              <w:t xml:space="preserve"> </w:t>
            </w:r>
          </w:p>
        </w:tc>
        <w:tc>
          <w:tcPr>
            <w:tcW w:w="11203" w:type="dxa"/>
          </w:tcPr>
          <w:p>
            <w:pPr>
              <w:spacing w:after="0" w:line="240" w:lineRule="auto"/>
              <w:rPr>
                <w:rFonts w:cs="Arial"/>
                <w:sz w:val="16"/>
                <w:szCs w:val="16"/>
              </w:rPr>
            </w:pPr>
            <w:r>
              <w:rPr>
                <w:rFonts w:cs="Arial"/>
                <w:sz w:val="16"/>
                <w:szCs w:val="16"/>
              </w:rPr>
            </w:r>
            <w:r>
              <w:t xml:space="preserve"> </w:t>
            </w:r>
          </w:p>
        </w:tc>
      </w:tr>
    </w:tbl>
    <w:p>
      <w:pPr>
        <w:spacing w:line="240" w:lineRule="auto"/>
      </w:pPr>
    </w:p>
    <w:p>
      <w:pPr>
        <w:spacing w:line="204" w:lineRule="auto"/>
        <w:rPr>
          <w:b/>
          <w:sz w:val="24"/>
          <w:szCs w:val="24"/>
          <w:highlight w:val="cyan"/>
        </w:rPr>
      </w:pPr>
      <w:r>
        <w:rPr>
          <w:b/>
          <w:sz w:val="24"/>
          <w:szCs w:val="24"/>
        </w:rPr>
        <w:t>Describe mainstream services, such as health, mental health, and employment services to the extent those services are use to complement services targeted to homeless persons.</w:t>
      </w:r>
      <w:r>
        <w:rPr>
          <w:b/>
          <w:i/>
          <w:sz w:val="24"/>
          <w:szCs w:val="24"/>
        </w:rPr>
      </w:r>
    </w:p>
    <w:p>
      <w:pPr>
        <w:spacing w:line="204" w:lineRule="auto"/>
        <w:rPr>
          <w:rFonts w:cs="Arial"/>
        </w:rPr>
      </w:pPr>
      <w:r>
        <w:t xml:space="preserve"> </w:t>
      </w:r>
    </w:p>
    <w:p>
      <w:pPr>
        <w:spacing w:beforeAutospacing="true" w:afterAutospacing="true"/>
        <w:rPr>
          <w:rFonts w:cs="Arial"/>
        </w:rPr>
      </w:pPr>
      <w:r>
        <w:rPr>
          <w:rFonts w:cs="Arial"/>
        </w:rPr>
        <w:t xml:space="preserve">The Federal and State governments have developed/administer a variety of mainstream service programs designed to help people maintain their independence.  This includes, but is not limited to:</w:t>
      </w:r>
    </w:p>
    <w:p>
      <w:pPr>
        <w:spacing w:beforeAutospacing="true" w:afterAutospacing="true"/>
        <w:rPr>
          <w:rFonts w:cs="Arial"/>
        </w:rPr>
      </w:pPr>
      <w:r>
        <w:rPr>
          <w:rFonts w:cs="Arial"/>
        </w:rPr>
        <w:t xml:space="preserve">-</w:t>
      </w:r>
      <w:r>
        <w:rPr>
          <w:rFonts w:cs="Arial"/>
        </w:rPr>
        <w:t xml:space="preserve">Health – Medicaid, Medicare, CHIP.  Effective January 2020, Utah has full Medicaid expansion for adults 19-64 with household income up to 138% of the poverty level.</w:t>
      </w:r>
    </w:p>
    <w:p>
      <w:pPr>
        <w:spacing w:beforeAutospacing="true" w:afterAutospacing="true"/>
        <w:rPr>
          <w:rFonts w:cs="Arial"/>
        </w:rPr>
      </w:pPr>
      <w:r>
        <w:rPr>
          <w:rFonts w:cs="Arial"/>
        </w:rPr>
        <w:t xml:space="preserve">-Mental health – SSDI</w:t>
      </w:r>
    </w:p>
    <w:p>
      <w:pPr>
        <w:spacing w:beforeAutospacing="true" w:afterAutospacing="true"/>
        <w:rPr>
          <w:rFonts w:cs="Arial"/>
        </w:rPr>
      </w:pPr>
      <w:r>
        <w:rPr>
          <w:rFonts w:cs="Arial"/>
        </w:rPr>
        <w:t xml:space="preserve">TANF and child care assistance</w:t>
      </w:r>
    </w:p>
    <w:p>
      <w:pPr>
        <w:spacing w:beforeAutospacing="true" w:afterAutospacing="true"/>
        <w:rPr>
          <w:rFonts w:cs="Arial"/>
        </w:rPr>
      </w:pPr>
      <w:r>
        <w:rPr>
          <w:rFonts w:cs="Arial"/>
        </w:rPr>
        <w:t xml:space="preserve"> </w:t>
      </w:r>
    </w:p>
    <w:p>
      <w:pPr>
        <w:spacing w:beforeAutospacing="true" w:afterAutospacing="true"/>
        <w:rPr>
          <w:rFonts w:cs="Arial"/>
        </w:rPr>
      </w:pPr>
      <w:r>
        <w:rPr>
          <w:rFonts w:cs="Arial"/>
        </w:rPr>
        <w:t xml:space="preserve">The above mainstream services can be a significant resource for homeless persons.  The Salt Lake County homeless housing and service delivery system supports access through the following activities:</w:t>
      </w:r>
    </w:p>
    <w:p>
      <w:pPr>
        <w:spacing w:beforeAutospacing="true" w:afterAutospacing="true"/>
        <w:rPr>
          <w:rFonts w:cs="Arial"/>
        </w:rPr>
      </w:pPr>
      <w:r>
        <w:rPr>
          <w:rFonts w:cs="Arial"/>
        </w:rPr>
        <w:t xml:space="preserve"> </w:t>
      </w:r>
    </w:p>
    <w:p>
      <w:pPr>
        <w:spacing w:beforeAutospacing="true" w:afterAutospacing="true"/>
        <w:rPr>
          <w:rFonts w:cs="Arial"/>
        </w:rPr>
      </w:pPr>
      <w:r>
        <w:rPr>
          <w:rFonts w:cs="Arial"/>
        </w:rPr>
        <w:t xml:space="preserve">-Case managers receive SOAR training – SOAR is a national program designed to increase access to disability income benefit programs for eligible adults who are experiencing or at risk of homelessness.</w:t>
      </w:r>
    </w:p>
    <w:p>
      <w:pPr>
        <w:spacing w:beforeAutospacing="true" w:afterAutospacing="true"/>
        <w:rPr>
          <w:rFonts w:cs="Arial"/>
        </w:rPr>
      </w:pPr>
      <w:r>
        <w:rPr>
          <w:rFonts w:cs="Arial"/>
        </w:rPr>
        <w:t xml:space="preserve">-Access to safe, affordable housing.  The benefit includes having a permanent address, thus meeting eligibility criteria for some services.  Shelter staff help homeless persons access safe, affordable housing with supportive services.</w:t>
      </w:r>
    </w:p>
    <w:p>
      <w:pPr>
        <w:spacing w:beforeAutospacing="true" w:afterAutospacing="true"/>
        <w:rPr>
          <w:rFonts w:cs="Arial"/>
        </w:rPr>
      </w:pPr>
      <w:r>
        <w:rPr>
          <w:rFonts w:cs="Arial"/>
        </w:rPr>
        <w:t xml:space="preserve">-Use of TANF funds to provide Rapid Rehousing assistance to homeless individuals</w:t>
      </w:r>
    </w:p>
    <w:p>
      <w:pPr>
        <w:spacing w:beforeAutospacing="true" w:afterAutospacing="true"/>
        <w:rPr>
          <w:rFonts w:cs="Arial"/>
        </w:rPr>
      </w:pPr>
    </w:p>
    <w:p>
      <w:pPr>
        <w:spacing w:line="204" w:lineRule="auto"/>
        <w:rPr>
          <w:b/>
          <w:sz w:val="24"/>
          <w:szCs w:val="24"/>
        </w:rPr>
      </w:pPr>
      <w:r>
        <w:rPr>
          <w:b/>
          <w:sz w:val="24"/>
          <w:szCs w:val="24"/>
        </w:rPr>
        <w:t>List and describe services and facilities that meet the needs of homeless persons, particularly chronically homeless individuals and families, families with children, veterans and their families, and unaccompanied youth. If the services and facilities are listed on screen SP-40 Institutional Delivery Structure or screen MA-35 Special Needs Facilities and Services, describe how these facilities and services specifically address the needs of these populations.</w:t>
      </w:r>
      <w:r>
        <w:rPr>
          <w:b/>
          <w:i/>
          <w:sz w:val="24"/>
          <w:szCs w:val="24"/>
        </w:rPr>
      </w:r>
    </w:p>
    <w:p>
      <w:pPr>
        <w:rPr>
          <w:rFonts w:cs="Arial"/>
        </w:rPr>
      </w:pPr>
      <w:r>
        <w:t xml:space="preserve"> </w:t>
      </w:r>
    </w:p>
    <w:p>
      <w:pPr>
        <w:numPr>
          <w:ilvl w:val="0"/>
          <w:numId w:val="3"/>
        </w:numPr>
        <w:spacing w:beforeAutospacing="true" w:afterAutospacing="true"/>
        <w:rPr>
          <w:rFonts w:cs="Arial"/>
        </w:rPr>
      </w:pPr>
      <w:r>
        <w:rPr>
          <w:rFonts w:cs="Arial"/>
        </w:rPr>
        <w:t xml:space="preserve">Multiple facilities have been developed in Salt Lake County to end homelessness for these populations by providing them with safe, affordable housing with on-site access to services.</w:t>
      </w:r>
      <w:r>
        <w:rPr>
          <w:rFonts w:cs="Arial"/>
        </w:rPr>
        <w:t xml:space="preserve"> </w:t>
      </w:r>
      <w:r>
        <w:rPr>
          <w:rFonts w:cs="Arial"/>
        </w:rPr>
        <w:t xml:space="preserve">-Homeless Veterans – Project-based grant per diem and permanent supportive housing project including: Freedom Landing, Sunrise Metro, and Valor House.  Programs are operated in partnership with the VA and local housing authorities.  Residents have access to VA and housing authority sponsored case management and supportive services.</w:t>
      </w:r>
      <w:r>
        <w:rPr>
          <w:rFonts w:cs="Arial"/>
        </w:rPr>
        <w:t xml:space="preserve"> </w:t>
      </w:r>
      <w:r>
        <w:rPr>
          <w:rFonts w:cs="Arial"/>
        </w:rPr>
        <w:t xml:space="preserve">-Homeless families – project-based permanent supportive housing projects including Palmer Court and Bud Bailey Apartments.  Projects have access for on-site services.</w:t>
      </w:r>
      <w:r>
        <w:rPr>
          <w:rFonts w:cs="Arial"/>
        </w:rPr>
        <w:t xml:space="preserve"> </w:t>
      </w:r>
      <w:r>
        <w:rPr>
          <w:rFonts w:cs="Arial"/>
        </w:rPr>
        <w:t xml:space="preserve">-Chronically Homeless –Project-based permanent supportive housing projects including: Grace Mary Manor, Kelly Benson Apartments, Sunrise Metro, Palmer Court, and The Magnolia (under construction).  Projects utilize the housing first model.  Residents have access to on-site case management and supportive housing.</w:t>
      </w:r>
      <w:r>
        <w:rPr>
          <w:rFonts w:cs="Arial"/>
        </w:rPr>
        <w:t xml:space="preserve"> </w:t>
      </w:r>
      <w:r>
        <w:rPr>
          <w:rFonts w:cs="Arial"/>
        </w:rPr>
        <w:t xml:space="preserve">-Homeless Youth – project-based transitional housing projects include: Young Men's Transitional House and Young Women's Transitional House.  Residents have access to on-site case management and supportive housin</w:t>
      </w:r>
      <w:r>
        <w:rPr>
          <w:rFonts w:cs="Arial"/>
        </w:rPr>
        <w:t xml:space="preserve">A number of services for the homeless population are provided by government offices and non-profit organizations including; crisis information and outreach, emergency shelters, day centers, prepared meals and food pantries, medical and dental services, veterans assistance, employment, welfare and financial assistance, substance abuse treatment, crisis nursery and daycare, and adult education.  Link provides contact information and detail of homeless services provided; https://slco.org/homeless-services/resource-directory/.</w:t>
      </w:r>
      <w:r>
        <w:rPr>
          <w:rFonts w:cs="Arial"/>
        </w:rPr>
        <w:t xml:space="preserve">.</w:t>
      </w:r>
    </w:p>
    <w:p>
      <w:pPr>
        <w:spacing w:beforeAutospacing="true" w:afterAutospacing="true"/>
        <w:rPr>
          <w:rFonts w:cs="Arial"/>
        </w:rPr>
      </w:pPr>
    </w:p>
    <w:p/>
    <w:p>
      <w:pPr>
        <w:spacing w:beforeAutospacing="true" w:afterAutospacing="true"/>
        <w:rPr>
          <w:b/>
          <w:sz w:val="24"/>
          <w:szCs w:val="24"/>
        </w:rPr>
      </w:pPr>
      <w:r>
        <w:rPr>
          <w:rFonts w:cs="Arial"/>
        </w:rPr>
        <w:t xml:space="preserve">The greatest unmet need within Salt Lake County is the need for more supportive care housing units and as part of that is lack of funding and facitilies for those with mental health issues. </w:t>
      </w:r>
    </w:p>
    <w:p>
      <w:pPr>
        <w:spacing w:beforeAutospacing="true" w:afterAutospacing="true"/>
        <w:rPr>
          <w:b/>
          <w:sz w:val="24"/>
          <w:szCs w:val="24"/>
        </w:rPr>
      </w:pPr>
      <w:r>
        <w:rPr>
          <w:rFonts w:cs="Arial"/>
        </w:rPr>
        <w:t xml:space="preserve">The elderly household face a number of challenges, Salt Lake County Aging Services provides strong supportive services. the greatest need for the elderly is about housing. For those who are homeowners over 1,000 households need signficant investment to make their homes fully accessible, and livable, to be able to age in place. Salt Lake County this year allocated HOME funds to Assist Inc. and Salt Lake Valley Habitat for Humanity to fund an Aging in Place program to made substantial improvements.</w:t>
      </w:r>
    </w:p>
    <w:p>
      <w:pPr>
        <w:spacing w:beforeAutospacing="true" w:afterAutospacing="true"/>
        <w:rPr>
          <w:b/>
          <w:sz w:val="24"/>
          <w:szCs w:val="24"/>
        </w:rPr>
      </w:pPr>
      <w:r>
        <w:rPr>
          <w:rFonts w:cs="Arial"/>
        </w:rPr>
        <w:t xml:space="preserve">By end of 2020 the Magnolia rental housing project will be completed. It will provide 65 affordable  rental units with supportive care. Salt Lake County needs to have at least a project like this completed each year for the next fuce years,</w:t>
      </w:r>
    </w:p>
    <w:p>
      <w:pPr>
        <w:spacing w:beforeAutospacing="true" w:afterAutospacing="true"/>
        <w:rPr>
          <w:b/>
          <w:sz w:val="24"/>
          <w:szCs w:val="24"/>
        </w:rPr>
      </w:pPr>
    </w:p>
    <w:tbl>
      <w:tblPr>
        <w:tblW w:w="5000" w:type="pct"/>
        <w:tblInd w:w="115" w:type="dxa"/>
        <w:tblLook w:firstRow="1" w:lastRow="1" w:firstColumn="1" w:lastColumn="1" w:noHBand="0" w:noVBand="0" w:val="01E0"/>
      </w:tblPr>
      <w:tblGrid>
        <w:gridCol w:w="1476"/>
        <w:gridCol w:w="11700"/>
      </w:tblGrid>
    </w:tbl>
    <w:p>
      <w:pPr>
        <w:keepNext/>
        <w:widowControl w:val="false"/>
        <w:spacing w:after="0" w:line="240" w:lineRule="auto"/>
        <w:jc w:val="center"/>
        <w:rPr>
          <w:b/>
          <w:bCs/>
          <w:vanish/>
          <w:sz w:val="20"/>
          <w:szCs w:val="20"/>
        </w:rPr>
      </w:pPr>
    </w:p>
    <w:p>
      <w:pPr>
        <w:rPr>
          <w:b/>
          <w:bCs/>
          <w:vanish/>
          <w:sz w:val="16"/>
          <w:szCs w:val="16"/>
        </w:rPr>
      </w:pPr>
    </w:p>
    <w:tbl>
      <w:tblPr>
        <w:tblW w:w="5000" w:type="pct"/>
        <w:tblInd w:w="115" w:type="dxa"/>
        <w:tblLook w:firstRow="1" w:lastRow="1" w:firstColumn="1" w:lastColumn="1" w:noHBand="0" w:noVBand="0" w:val="01E0"/>
      </w:tblPr>
      <w:tblGrid>
        <w:gridCol w:w="2715"/>
        <w:gridCol w:w="10461"/>
      </w:tblGrid>
    </w:tbl>
    <w:p/>
    <w:p>
      <w:pPr>
        <w:rPr>
          <w:rFonts w:cs="Arial"/>
        </w:rPr>
      </w:pPr>
      <w:r>
        <w:t xml:space="preserve"> </w:t>
      </w:r>
    </w:p>
    <w:p>
      <w:pPr>
        <w:spacing w:beforeAutospacing="true" w:afterAutospacing="true"/>
        <w:rPr>
          <w:rFonts w:cs="Arial"/>
        </w:rPr>
      </w:pPr>
      <w:r>
        <w:rPr>
          <w:rFonts w:cs="Arial"/>
          <w:b/>
        </w:rPr>
        <w:t xml:space="preserve">Elderly and Extra Elderly </w:t>
      </w:r>
      <w:r>
        <w:rPr>
          <w:rFonts w:cs="Arial"/>
        </w:rPr>
        <w:t xml:space="preserve">- The increase in cost burdened elderly and extra elderly owners and renters will be rather nominal over the next five years.  Generally increases are less than 200 households over the five-year period.  However, the current gap in affordable housing for elderly and extra elderly renter households is extremely high.  Of the nearly 1,500 elderly and extra elderly renters in the low income group 30%-50% AMI, 1,219 or 82 percent have housing problems.  While not a rapidly growing category it is an income and tenure category with a sizeable gap or shortage of affordable rental housing.</w:t>
      </w:r>
    </w:p>
    <w:p>
      <w:pPr>
        <w:spacing w:beforeAutospacing="true" w:afterAutospacing="true"/>
        <w:rPr>
          <w:rFonts w:cs="Arial"/>
        </w:rPr>
      </w:pPr>
      <w:r>
        <w:rPr>
          <w:rFonts w:cs="Arial"/>
          <w:b/>
        </w:rPr>
        <w:t xml:space="preserve">Victims of Domestic Violence-</w:t>
      </w:r>
      <w:r>
        <w:rPr>
          <w:rFonts w:cs="Arial"/>
        </w:rPr>
        <w:t xml:space="preserve">There are two facilities in Salt Lake County that provide housing services for victims of domestic violence; South Valley Sanctuary (West Jordan) and the Salt Lake City YWCA.  Demand for crisis and extended housing exceeds the supply.  Both facilities had to refer clients to other housing options in 2009 due to full occupancy.  In response to this condition the YWCA has just expanded their 75 bed facility by 31 beds and are in the process of beginning construction on a new structure that will added another 75 beds.  Therefore, over the new year the inventory of beds for crisis and extended stays by victims of domestic violence will increase from 132 beds (South Valley Sanctuary 57 beds and YWCA 75 beds) to 238 beds.  Before considering any more beds the occupancy rate of these new beds should evaluated over the next few years.</w:t>
      </w:r>
    </w:p>
    <w:p>
      <w:pPr>
        <w:spacing w:beforeAutospacing="true" w:afterAutospacing="true"/>
        <w:rPr>
          <w:rFonts w:cs="Arial"/>
        </w:rPr>
      </w:pPr>
      <w:r>
        <w:rPr>
          <w:rFonts w:cs="Arial"/>
        </w:rPr>
        <w:t xml:space="preserve"> </w:t>
      </w:r>
      <w:r>
        <w:rPr>
          <w:rFonts w:cs="Arial"/>
          <w:b/>
        </w:rPr>
        <w:t xml:space="preserve">HIV/AIDS-</w:t>
      </w:r>
      <w:r>
        <w:rPr>
          <w:rFonts w:cs="Arial"/>
        </w:rPr>
        <w:t xml:space="preserve">The housing director for HIV/AIDS at the Salt Lake Community Action Program maintains that this special needs population would be best served by increases in the number of rental units willing to take tenants with multiple problems including HIV/AIDS.  Units targeted solely for HIV/AIDS are not the best solution due to stigma attached to units.  HOPWA vouchers have been the most effective tool for addressing housing problems of this population. Currently for HIV/AIDS individuals there are 76 HOPWA vouchers, 36 shelter+care vouchers and 10 housing units in Salt Lake County.  The strategy to meet the supply gap and future needs should be to increase the number of HOPWA vouchers.</w:t>
      </w:r>
    </w:p>
    <w:p>
      <w:pPr>
        <w:spacing w:beforeAutospacing="true" w:afterAutospacing="true"/>
        <w:rPr>
          <w:rFonts w:cs="Arial"/>
        </w:rPr>
      </w:pPr>
    </w:p>
    <w:p>
      <w:pPr>
        <w:spacing w:beforeAutospacing="true" w:afterAutospacing="true"/>
        <w:rPr>
          <w:rFonts w:cs="Arial"/>
        </w:rPr>
      </w:pPr>
      <w:r>
        <w:rPr>
          <w:rFonts w:cs="Arial"/>
        </w:rPr>
        <w:t xml:space="preserve"> </w:t>
      </w:r>
    </w:p>
    <w:p>
      <w:pPr>
        <w:spacing w:beforeAutospacing="true" w:afterAutospacing="true"/>
        <w:rPr>
          <w:rFonts w:cs="Arial"/>
        </w:rPr>
      </w:pPr>
      <w:r>
        <w:rPr>
          <w:rFonts w:cs="Arial"/>
          <w:i/>
        </w:rPr>
        <w:t xml:space="preserve">Households with Disabled Individual – </w:t>
      </w:r>
      <w:r>
        <w:rPr>
          <w:rFonts w:cs="Arial"/>
        </w:rPr>
        <w:t xml:space="preserve">The number of very low income disabled renters is projected to grow by about 400-500 renters over the five-year period.  Increases in disabled households in other income and tenure categories increase by less than 200 households by 2019.</w:t>
      </w:r>
    </w:p>
    <w:p>
      <w:pPr>
        <w:spacing w:beforeAutospacing="true" w:afterAutospacing="true"/>
        <w:rPr>
          <w:rFonts w:cs="Arial"/>
        </w:rPr>
      </w:pPr>
      <w:r>
        <w:rPr>
          <w:rFonts w:cs="Arial"/>
        </w:rPr>
        <w:t xml:space="preserve"> </w:t>
      </w:r>
      <w:r>
        <w:rPr>
          <w:rFonts w:cs="Arial"/>
        </w:rPr>
        <w:br/>
        <w:t xml:space="preserve"/>
      </w:r>
      <w:r>
        <w:rPr>
          <w:rFonts w:cs="Arial"/>
        </w:rPr>
        <w:t xml:space="preserve"> </w:t>
      </w:r>
      <w:r>
        <w:rPr>
          <w:rFonts w:cs="Arial"/>
        </w:rPr>
        <w:t xml:space="preserve"> </w:t>
      </w:r>
    </w:p>
    <w:p>
      <w:pPr>
        <w:spacing w:beforeAutospacing="true" w:afterAutospacing="true"/>
        <w:rPr>
          <w:rFonts w:cs="Arial"/>
        </w:rPr>
      </w:pPr>
      <w:r>
        <w:rPr>
          <w:rFonts w:cs="Arial"/>
        </w:rPr>
        <w:t xml:space="preserve"> </w:t>
      </w:r>
    </w:p>
    <w:p>
      <w:pPr>
        <w:spacing w:beforeAutospacing="true" w:afterAutospacing="true"/>
        <w:rPr>
          <w:rFonts w:cs="Arial"/>
        </w:rPr>
      </w:pPr>
    </w:p>
    <w:p>
      <w:pPr>
        <w:spacing w:beforeAutospacing="true" w:afterAutospacing="true"/>
        <w:rPr>
          <w:rFonts w:cs="Arial"/>
        </w:rPr>
      </w:pPr>
    </w:p>
    <w:p>
      <w:pPr>
        <w:spacing w:beforeAutospacing="true" w:afterAutospacing="true"/>
        <w:rPr>
          <w:rFonts w:cs="Arial"/>
        </w:rPr>
      </w:pPr>
      <w:r>
        <w:rPr>
          <w:rFonts w:cs="Arial"/>
        </w:rPr>
        <w:t xml:space="preserve">The Housing and Community Development Division has partnered with the Salt Lake County Behavior Health Division and the Housing Connect, aka Housing Authority for the County of Salt Lake, to provide transitional housing provided by the HOME TBRA resources and matching resources from Salt Lake County for formally homeless and those with substance abuse and mental health concerns that have existed residential treatment with a case management plan to become socially and economically independent. The Division of Behavior Health provides the resource for case management services with behavior health partnering agencies working towards housing stability with every client.</w:t>
      </w:r>
    </w:p>
    <w:p>
      <w:pPr>
        <w:spacing w:beforeAutospacing="true" w:afterAutospacing="true"/>
        <w:rPr>
          <w:rFonts w:cs="Arial"/>
        </w:rPr>
      </w:pPr>
      <w:r>
        <w:rPr>
          <w:rFonts w:cs="Arial"/>
        </w:rPr>
        <w:t xml:space="preserve">The INN Between, a 24 hour hospice and physical health recovery facility purchased a formally long-term care facility two years ago to provide the special care services where terminal homeless individuals released from local hospitals can live out their lives and for those homeless individuals just need a place to recover after being released from health procedures and have no safe place to recover from surgery of other medical procedures. The Salt Lake County CDBG Program has provided funding for substantial rehabilitation to bring the 40-year old facility back to local jurisdiction and State Health Codes and occupancy.  </w:t>
      </w:r>
    </w:p>
    <w:p>
      <w:pPr>
        <w:spacing w:beforeAutospacing="true" w:afterAutospacing="true"/>
        <w:rPr>
          <w:rFonts w:cs="Arial"/>
        </w:rPr>
      </w:pPr>
    </w:p>
    <w:p>
      <w:pPr>
        <w:spacing w:beforeAutospacing="true" w:afterAutospacing="true"/>
        <w:rPr>
          <w:rFonts w:cs="Arial"/>
        </w:rPr>
      </w:pPr>
    </w:p>
    <w:p>
      <w:pPr>
        <w:spacing w:beforeAutospacing="true" w:afterAutospacing="true"/>
        <w:rPr>
          <w:rFonts w:cs="Arial"/>
        </w:rPr>
      </w:pPr>
    </w:p>
    <w:p>
      <w:pPr>
        <w:rPr>
          <w:rFonts w:cs="Arial"/>
        </w:rPr>
      </w:pPr>
      <w:r>
        <w:t xml:space="preserve"> </w:t>
      </w:r>
    </w:p>
    <w:p>
      <w:pPr>
        <w:spacing w:beforeAutospacing="true" w:afterAutospacing="true"/>
        <w:rPr>
          <w:rFonts w:cs="Arial"/>
        </w:rPr>
      </w:pPr>
      <w:r>
        <w:rPr>
          <w:rFonts w:cs="Arial"/>
          <w:b/>
        </w:rPr>
        <w:t xml:space="preserve">Goal Homeownership </w:t>
      </w:r>
      <w:r>
        <w:rPr>
          <w:rFonts w:cs="Arial"/>
        </w:rPr>
        <w:t xml:space="preserve"> Priority will be given to funding of programs that will provide housing counseling; landlord disputes, foreclosure prevention, and homeownership training.</w:t>
      </w:r>
    </w:p>
    <w:p>
      <w:pPr>
        <w:spacing w:beforeAutospacing="true" w:afterAutospacing="true"/>
        <w:rPr>
          <w:rFonts w:cs="Arial"/>
        </w:rPr>
      </w:pPr>
      <w:r>
        <w:rPr>
          <w:rFonts w:cs="Arial"/>
          <w:b/>
        </w:rPr>
        <w:t xml:space="preserve">Goal Housing</w:t>
      </w:r>
      <w:r>
        <w:rPr>
          <w:rFonts w:cs="Arial"/>
        </w:rPr>
        <w:t xml:space="preserve">: Rental Housing: HOME funds will be used to fund the development and construction of new rental housing, preservation through rental rehabilitation, funding of mobile home parks, and other preservation of affordable housing projects. Approximately 1 new rental housing projects with supportive care be funded each year.. Msgnolia 65 ssupportive care project for specials needs will be completed by the end of 2020. </w:t>
      </w:r>
    </w:p>
    <w:p>
      <w:pPr>
        <w:spacing w:beforeAutospacing="true" w:afterAutospacing="true"/>
        <w:rPr>
          <w:rFonts w:cs="Arial"/>
        </w:rPr>
      </w:pPr>
      <w:r>
        <w:rPr>
          <w:rFonts w:cs="Arial"/>
        </w:rPr>
        <w:t xml:space="preserve"> </w:t>
      </w:r>
      <w:r>
        <w:rPr>
          <w:rFonts w:cs="Arial"/>
          <w:b/>
        </w:rPr>
        <w:t xml:space="preserve">Senior Rental:</w:t>
      </w:r>
      <w:r>
        <w:rPr>
          <w:rFonts w:cs="Arial"/>
        </w:rPr>
        <w:t xml:space="preserve"> HOME funds will be used to fund the development and construction of new rental housing, preservation of existing rental housing, and preservation of mobile home parks and other affordable housing developments. HOME funds will be committed to help finance the development of senior housing. The HOME funds will be combined with State of Utah funds, LIHTC, and Section 202 funding.</w:t>
      </w:r>
    </w:p>
    <w:p>
      <w:pPr>
        <w:spacing w:beforeAutospacing="true" w:afterAutospacing="true"/>
        <w:rPr>
          <w:rFonts w:cs="Arial"/>
        </w:rPr>
      </w:pPr>
      <w:r>
        <w:rPr>
          <w:rFonts w:cs="Arial"/>
          <w:u w:val="single"/>
        </w:rPr>
        <w:t xml:space="preserve">Senior Housing Need:</w:t>
      </w:r>
      <w:r>
        <w:rPr>
          <w:rFonts w:cs="Arial"/>
        </w:rPr>
        <w:t xml:space="preserve">  There is a need for an additional 100 to 125 new senior units annually. It is likely the HOME program will assist in the funding of 40 new senior housing units, and that the market will develop 60 units annually.</w:t>
      </w:r>
    </w:p>
    <w:p>
      <w:pPr>
        <w:spacing w:beforeAutospacing="true" w:afterAutospacing="true"/>
        <w:rPr>
          <w:rFonts w:cs="Arial"/>
        </w:rPr>
      </w:pPr>
      <w:r>
        <w:rPr>
          <w:rFonts w:cs="Arial"/>
          <w:u w:val="single"/>
        </w:rPr>
        <w:t xml:space="preserve">HIV Housing Need:</w:t>
      </w:r>
      <w:r>
        <w:rPr>
          <w:rFonts w:cs="Arial"/>
        </w:rPr>
        <w:t xml:space="preserve"> There is a critical need for at least 100 additional units for this special needs population</w:t>
      </w:r>
    </w:p>
    <w:p>
      <w:pPr>
        <w:spacing w:beforeAutospacing="true" w:afterAutospacing="true"/>
        <w:rPr>
          <w:rFonts w:cs="Arial"/>
        </w:rPr>
      </w:pPr>
      <w:r>
        <w:rPr>
          <w:rFonts w:cs="Arial"/>
        </w:rPr>
        <w:t xml:space="preserve"> </w:t>
      </w:r>
    </w:p>
    <w:p>
      <w:pPr>
        <w:spacing w:beforeAutospacing="true" w:afterAutospacing="true"/>
        <w:rPr>
          <w:rFonts w:cs="Arial"/>
        </w:rPr>
      </w:pPr>
      <w:r>
        <w:rPr>
          <w:rFonts w:cs="Arial"/>
          <w:u w:val="single"/>
        </w:rPr>
        <w:t xml:space="preserve">TB Housing Need:</w:t>
      </w:r>
      <w:r>
        <w:rPr>
          <w:rFonts w:cs="Arial"/>
        </w:rPr>
        <w:t xml:space="preserve"> One to two units that would house families who have a member with active TB disease.</w:t>
      </w:r>
    </w:p>
    <w:p>
      <w:pPr>
        <w:spacing w:beforeAutospacing="true" w:afterAutospacing="true"/>
        <w:rPr>
          <w:rFonts w:cs="Arial"/>
        </w:rPr>
      </w:pPr>
      <w:r>
        <w:rPr>
          <w:rFonts w:cs="Arial"/>
          <w:u w:val="single"/>
        </w:rPr>
        <w:t xml:space="preserve"> </w:t>
      </w:r>
    </w:p>
    <w:p>
      <w:pPr>
        <w:spacing w:beforeAutospacing="true" w:afterAutospacing="true"/>
        <w:rPr>
          <w:rFonts w:cs="Arial"/>
        </w:rPr>
      </w:pPr>
      <w:r>
        <w:rPr>
          <w:rFonts w:cs="Arial"/>
          <w:u w:val="single"/>
        </w:rPr>
        <w:t xml:space="preserve">Domestic Violence Housing Need:</w:t>
      </w:r>
      <w:r>
        <w:rPr>
          <w:rFonts w:cs="Arial"/>
        </w:rPr>
        <w:t xml:space="preserve">  An additional 20 unit facility with approximately 55 beds would accommodate much of the current “turned away” clientele.</w:t>
      </w:r>
    </w:p>
    <w:p>
      <w:pPr>
        <w:spacing w:beforeAutospacing="true" w:afterAutospacing="true"/>
        <w:rPr>
          <w:rFonts w:cs="Arial"/>
        </w:rPr>
      </w:pPr>
      <w:r>
        <w:rPr>
          <w:rFonts w:cs="Arial"/>
        </w:rPr>
        <w:t xml:space="preserve"> </w:t>
      </w:r>
    </w:p>
    <w:p>
      <w:pPr>
        <w:spacing w:beforeAutospacing="true" w:afterAutospacing="true"/>
        <w:rPr>
          <w:rFonts w:cs="Arial"/>
        </w:rPr>
      </w:pPr>
      <w:r>
        <w:rPr>
          <w:rFonts w:cs="Arial"/>
          <w:u w:val="single"/>
        </w:rPr>
        <w:t xml:space="preserve">Households with Accessibility Housing Need</w:t>
      </w:r>
      <w:r>
        <w:rPr>
          <w:rFonts w:cs="Arial"/>
        </w:rPr>
        <w:t xml:space="preserve">:  An additional 100 Type A accessible units in apartment communities for very low income renters will becompleted over the nextt five years,</w:t>
      </w:r>
    </w:p>
    <w:p>
      <w:pPr>
        <w:spacing w:beforeAutospacing="true" w:afterAutospacing="true"/>
        <w:rPr>
          <w:rFonts w:cs="Arial"/>
        </w:rPr>
      </w:pPr>
      <w:r>
        <w:rPr>
          <w:rFonts w:cs="Arial"/>
          <w:u w:val="single"/>
        </w:rPr>
        <w:t xml:space="preserve"> </w:t>
      </w:r>
    </w:p>
    <w:p>
      <w:pPr>
        <w:spacing w:beforeAutospacing="true" w:afterAutospacing="true"/>
        <w:rPr>
          <w:rFonts w:cs="Arial"/>
        </w:rPr>
      </w:pPr>
    </w:p>
    <w:p>
      <w:pPr>
        <w:spacing w:line="204" w:lineRule="auto"/>
        <w:rPr>
          <w:rFonts w:cs="Arial"/>
        </w:rPr>
      </w:pPr>
      <w:r>
        <w:t xml:space="preserve"> </w:t>
      </w:r>
    </w:p>
    <w:p>
      <w:pPr>
        <w:spacing w:beforeAutospacing="true" w:afterAutospacing="true"/>
        <w:rPr>
          <w:rFonts w:cs="Arial"/>
        </w:rPr>
      </w:pPr>
      <w:r>
        <w:rPr>
          <w:rFonts w:cs="Arial"/>
          <w:b/>
        </w:rPr>
        <w:t xml:space="preserve">Goal Rental Housing: </w:t>
      </w:r>
      <w:r>
        <w:rPr>
          <w:rFonts w:cs="Arial"/>
          <w:b/>
        </w:rPr>
        <w:t xml:space="preserve">Magnolia rental housing project has 65 ssupportive care units for specials needs will be completed by the end of 2020.</w:t>
      </w:r>
    </w:p>
    <w:p>
      <w:pPr>
        <w:spacing w:line="204" w:lineRule="auto"/>
        <w:rPr>
          <w:rFonts w:cs="Arial"/>
        </w:rPr>
      </w:pPr>
    </w:p>
    <w:p>
      <w:pPr>
        <w:pStyle w:val="Heading2"/>
        <w:pageBreakBefore/>
        <w:rPr>
          <w:rFonts w:ascii="Calibri" w:hAnsi="Calibri"/>
          <w:i w:val="false"/>
        </w:rPr>
      </w:pPr>
      <w:r>
        <w:rPr>
          <w:rFonts w:ascii="Calibri" w:hAnsi="Calibri"/>
          <w:i w:val="false"/>
        </w:rPr>
        <w:t>MA-45 Non-Housing Community Development Assets - 91.410, 91.210(f)</w:t>
      </w:r>
    </w:p>
    <w:p>
      <w:pPr>
        <w:spacing w:line="204" w:lineRule="auto"/>
        <w:rPr>
          <w:b/>
          <w:sz w:val="24"/>
          <w:szCs w:val="24"/>
        </w:rPr>
      </w:pPr>
      <w:r>
        <w:rPr>
          <w:b/>
          <w:sz w:val="24"/>
          <w:szCs w:val="24"/>
        </w:rPr>
        <w:t>Introduction</w:t>
      </w:r>
    </w:p>
    <w:p>
      <w:pPr>
        <w:spacing w:beforeAutospacing="true" w:afterAutospacing="true"/>
        <w:rPr>
          <w:b/>
          <w:sz w:val="24"/>
          <w:szCs w:val="24"/>
        </w:rPr>
      </w:pPr>
      <w:r>
        <w:rPr>
          <w:rFonts w:cs="Arial"/>
        </w:rPr>
        <w:t xml:space="preserve">The COVID-19 induced recession will have a significant impact on employment and housing in Salt Lake County.  The employment forecast for the state predicts a job loss of 168,000 in 2020, approximately 80,000 of those jobs will be located in Salt Lake County (excluding Salt Lake City).  Job losses and the associated reduced level of net in-migration will weaken housing demand.</w:t>
      </w:r>
    </w:p>
    <w:p>
      <w:pPr>
        <w:spacing w:beforeAutospacing="true" w:afterAutospacing="true"/>
        <w:rPr>
          <w:b/>
          <w:sz w:val="24"/>
          <w:szCs w:val="24"/>
        </w:rPr>
      </w:pPr>
    </w:p>
    <w:p>
      <w:pPr>
        <w:keepNext/>
        <w:widowControl w:val="false"/>
        <w:rPr>
          <w:b/>
          <w:sz w:val="24"/>
          <w:szCs w:val="24"/>
        </w:rPr>
      </w:pPr>
      <w:r>
        <w:rPr>
          <w:b/>
          <w:sz w:val="24"/>
          <w:szCs w:val="24"/>
        </w:rPr>
        <w:t>Economic Development Market Analysis</w:t>
      </w:r>
    </w:p>
    <w:p>
      <w:pPr>
        <w:keepNext/>
        <w:widowControl w:val="false"/>
        <w:rPr>
          <w:b/>
          <w:sz w:val="24"/>
          <w:szCs w:val="24"/>
        </w:rPr>
      </w:pPr>
      <w:r>
        <w:rPr>
          <w:b/>
          <w:sz w:val="24"/>
          <w:szCs w:val="24"/>
        </w:rPr>
        <w:t>Business Activity</w:t>
      </w:r>
    </w:p>
    <w:tbl>
      <w:tblPr>
        <w:tblW w:w="5000" w:type="pct"/>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firstRow="1" w:lastRow="1" w:firstColumn="1" w:lastColumn="1" w:noHBand="0" w:noVBand="0" w:val="01E0"/>
      </w:tblPr>
      <w:tblGrid>
        <w:gridCol w:w="5393"/>
        <w:gridCol w:w="1555"/>
        <w:gridCol w:w="1557"/>
        <w:gridCol w:w="1557"/>
        <w:gridCol w:w="1557"/>
        <w:gridCol w:w="1557"/>
      </w:tblGrid>
      <w:tr>
        <w:trPr>
          <w:cantSplit/>
          <w:tblHeader/>
        </w:trPr>
        <w:tc>
          <w:tcPr>
            <w:tcW w:w="3907" w:type="dxa"/>
          </w:tcPr>
          <w:p>
            <w:pPr>
              <w:keepNext/>
              <w:widowControl w:val="false"/>
              <w:spacing w:after="0" w:line="240" w:lineRule="auto"/>
              <w:jc w:val="center"/>
            </w:pPr>
            <w:r>
              <w:rPr>
                <w:b/>
                <w:sz w:val="16"/>
                <w:szCs w:val="16"/>
              </w:rPr>
              <w:t>Business by Sector</w:t>
            </w:r>
          </w:p>
        </w:tc>
        <w:tc>
          <w:tcPr>
            <w:tcW w:w="1133" w:type="dxa"/>
          </w:tcPr>
          <w:p>
            <w:pPr>
              <w:keepNext/>
              <w:widowControl w:val="false"/>
              <w:spacing w:after="0" w:line="240" w:lineRule="auto"/>
              <w:jc w:val="center"/>
            </w:pPr>
            <w:r>
              <w:rPr>
                <w:b/>
                <w:sz w:val="16"/>
                <w:szCs w:val="16"/>
              </w:rPr>
              <w:t>Number of Workers</w:t>
            </w:r>
          </w:p>
        </w:tc>
        <w:tc>
          <w:tcPr>
            <w:tcW w:w="1134" w:type="dxa"/>
          </w:tcPr>
          <w:p>
            <w:pPr>
              <w:keepNext/>
              <w:widowControl w:val="false"/>
              <w:spacing w:after="0" w:line="240" w:lineRule="auto"/>
              <w:jc w:val="center"/>
            </w:pPr>
            <w:r>
              <w:rPr>
                <w:b/>
                <w:sz w:val="16"/>
                <w:szCs w:val="16"/>
              </w:rPr>
              <w:t>Number of Jobs</w:t>
            </w:r>
          </w:p>
        </w:tc>
        <w:tc>
          <w:tcPr>
            <w:tcW w:w="1134" w:type="dxa"/>
          </w:tcPr>
          <w:p>
            <w:pPr>
              <w:keepNext/>
              <w:widowControl w:val="false"/>
              <w:spacing w:after="0" w:line="240" w:lineRule="auto"/>
              <w:jc w:val="center"/>
              <w:rPr>
                <w:b/>
                <w:sz w:val="16"/>
                <w:szCs w:val="16"/>
              </w:rPr>
            </w:pPr>
            <w:r>
              <w:rPr>
                <w:b/>
                <w:sz w:val="16"/>
                <w:szCs w:val="16"/>
              </w:rPr>
              <w:t>Share of Workers</w:t>
            </w:r>
          </w:p>
          <w:p>
            <w:pPr>
              <w:keepNext/>
              <w:widowControl w:val="false"/>
              <w:spacing w:after="0" w:line="240" w:lineRule="auto"/>
              <w:jc w:val="center"/>
            </w:pPr>
            <w:r>
              <w:rPr>
                <w:b/>
                <w:sz w:val="16"/>
                <w:szCs w:val="16"/>
              </w:rPr>
              <w:t>%</w:t>
            </w:r>
          </w:p>
        </w:tc>
        <w:tc>
          <w:tcPr>
            <w:tcW w:w="1134" w:type="dxa"/>
          </w:tcPr>
          <w:p>
            <w:pPr>
              <w:keepNext/>
              <w:widowControl w:val="false"/>
              <w:spacing w:after="0" w:line="240" w:lineRule="auto"/>
              <w:jc w:val="center"/>
              <w:rPr>
                <w:b/>
                <w:sz w:val="16"/>
                <w:szCs w:val="16"/>
              </w:rPr>
            </w:pPr>
            <w:r>
              <w:rPr>
                <w:b/>
                <w:sz w:val="16"/>
                <w:szCs w:val="16"/>
              </w:rPr>
              <w:t>Share of Jobs</w:t>
            </w:r>
          </w:p>
          <w:p>
            <w:pPr>
              <w:keepNext/>
              <w:widowControl w:val="false"/>
              <w:spacing w:after="0" w:line="240" w:lineRule="auto"/>
              <w:jc w:val="center"/>
            </w:pPr>
            <w:r>
              <w:rPr>
                <w:b/>
                <w:sz w:val="16"/>
                <w:szCs w:val="16"/>
              </w:rPr>
              <w:t>%</w:t>
            </w:r>
          </w:p>
        </w:tc>
        <w:tc>
          <w:tcPr>
            <w:tcW w:w="1134" w:type="dxa"/>
          </w:tcPr>
          <w:p>
            <w:pPr>
              <w:keepNext/>
              <w:widowControl w:val="false"/>
              <w:spacing w:after="0" w:line="240" w:lineRule="auto"/>
              <w:jc w:val="center"/>
              <w:rPr>
                <w:b/>
                <w:sz w:val="16"/>
                <w:szCs w:val="16"/>
              </w:rPr>
            </w:pPr>
            <w:r>
              <w:rPr>
                <w:b/>
                <w:sz w:val="16"/>
                <w:szCs w:val="16"/>
              </w:rPr>
              <w:t>Jobs less workers</w:t>
            </w:r>
          </w:p>
          <w:p>
            <w:pPr>
              <w:keepNext/>
              <w:widowControl w:val="false"/>
              <w:spacing w:after="0" w:line="240" w:lineRule="auto"/>
              <w:jc w:val="center"/>
            </w:pPr>
            <w:r>
              <w:rPr>
                <w:b/>
                <w:sz w:val="16"/>
                <w:szCs w:val="16"/>
              </w:rPr>
              <w:t>%</w:t>
            </w:r>
          </w:p>
        </w:tc>
      </w:tr>
      <w:tr>
        <w:trPr>
          <w:cantSplit w:val="true"/>
        </w:trPr>
        <w:tc>
          <w:tcPr>
            <w:vAlign w:val="top"/>
          </w:tcPr>
          <w:p>
            <w:pPr>
              <w:spacing w:beforeAutospacing="true" w:afterAutospacing="true"/>
              <w:jc w:val="left"/>
            </w:pPr>
            <w:r>
              <w:rPr>
                <w:rFonts w:ascii="Calibri" w:hAnsi="Calibri"/>
                <w:color w:val="000000"/>
                <w:sz w:val="22"/>
              </w:rPr>
              <w:t xml:space="preserve">Agriculture, Mining, Oil &amp; Gas Extraction</w:t>
            </w:r>
          </w:p>
        </w:tc>
        <w:tc>
          <w:tcPr>
            <w:vAlign w:val="bottom"/>
          </w:tcPr>
          <w:p>
            <w:pPr>
              <w:spacing w:beforeAutospacing="true" w:afterAutospacing="true"/>
              <w:jc w:val="right"/>
            </w:pPr>
            <w:r>
              <w:rPr>
                <w:rFonts w:ascii="Calibri" w:hAnsi="Calibri"/>
                <w:color w:val="000000"/>
                <w:sz w:val="22"/>
              </w:rPr>
              <w:t xml:space="preserve">1,284</w:t>
            </w:r>
          </w:p>
        </w:tc>
        <w:tc>
          <w:tcPr>
            <w:vAlign w:val="bottom"/>
          </w:tcPr>
          <w:p>
            <w:pPr>
              <w:spacing w:beforeAutospacing="true" w:afterAutospacing="true"/>
              <w:jc w:val="right"/>
            </w:pPr>
            <w:r>
              <w:rPr>
                <w:rFonts w:ascii="Calibri" w:hAnsi="Calibri"/>
                <w:color w:val="000000"/>
                <w:sz w:val="22"/>
              </w:rPr>
              <w:t xml:space="preserve">1,583</w:t>
            </w:r>
          </w:p>
        </w:tc>
        <w:tc>
          <w:tcPr>
            <w:vAlign w:val="bottom"/>
          </w:tcPr>
          <w:p>
            <w:pPr>
              <w:spacing w:beforeAutospacing="true" w:afterAutospacing="true"/>
              <w:jc w:val="right"/>
            </w:pPr>
            <w:r>
              <w:rPr>
                <w:rFonts w:ascii="Calibri" w:hAnsi="Calibri"/>
                <w:color w:val="000000"/>
                <w:sz w:val="22"/>
              </w:rPr>
              <w:t xml:space="preserve">1</w:t>
            </w:r>
          </w:p>
        </w:tc>
        <w:tc>
          <w:tcPr>
            <w:vAlign w:val="bottom"/>
          </w:tcPr>
          <w:p>
            <w:pPr>
              <w:spacing w:beforeAutospacing="true" w:afterAutospacing="true"/>
              <w:jc w:val="right"/>
            </w:pPr>
            <w:r>
              <w:rPr>
                <w:rFonts w:ascii="Calibri" w:hAnsi="Calibri"/>
                <w:color w:val="000000"/>
                <w:sz w:val="22"/>
              </w:rPr>
              <w:t xml:space="preserve">1</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top"/>
          </w:tcPr>
          <w:p>
            <w:pPr>
              <w:spacing w:beforeAutospacing="true" w:afterAutospacing="true"/>
              <w:jc w:val="left"/>
            </w:pPr>
            <w:r>
              <w:rPr>
                <w:rFonts w:ascii="Calibri" w:hAnsi="Calibri"/>
                <w:color w:val="000000"/>
                <w:sz w:val="22"/>
              </w:rPr>
              <w:t xml:space="preserve">Arts, Entertainment, Accommodations</w:t>
            </w:r>
          </w:p>
        </w:tc>
        <w:tc>
          <w:tcPr>
            <w:vAlign w:val="bottom"/>
          </w:tcPr>
          <w:p>
            <w:pPr>
              <w:spacing w:beforeAutospacing="true" w:afterAutospacing="true"/>
              <w:jc w:val="right"/>
            </w:pPr>
            <w:r>
              <w:rPr>
                <w:rFonts w:ascii="Calibri" w:hAnsi="Calibri"/>
                <w:color w:val="000000"/>
                <w:sz w:val="22"/>
              </w:rPr>
              <w:t xml:space="preserve">20,119</w:t>
            </w:r>
          </w:p>
        </w:tc>
        <w:tc>
          <w:tcPr>
            <w:vAlign w:val="bottom"/>
          </w:tcPr>
          <w:p>
            <w:pPr>
              <w:spacing w:beforeAutospacing="true" w:afterAutospacing="true"/>
              <w:jc w:val="right"/>
            </w:pPr>
            <w:r>
              <w:rPr>
                <w:rFonts w:ascii="Calibri" w:hAnsi="Calibri"/>
                <w:color w:val="000000"/>
                <w:sz w:val="22"/>
              </w:rPr>
              <w:t xml:space="preserve">17,388</w:t>
            </w:r>
          </w:p>
        </w:tc>
        <w:tc>
          <w:tcPr>
            <w:vAlign w:val="bottom"/>
          </w:tcPr>
          <w:p>
            <w:pPr>
              <w:spacing w:beforeAutospacing="true" w:afterAutospacing="true"/>
              <w:jc w:val="right"/>
            </w:pPr>
            <w:r>
              <w:rPr>
                <w:rFonts w:ascii="Calibri" w:hAnsi="Calibri"/>
                <w:color w:val="000000"/>
                <w:sz w:val="22"/>
              </w:rPr>
              <w:t xml:space="preserve">12</w:t>
            </w:r>
          </w:p>
        </w:tc>
        <w:tc>
          <w:tcPr>
            <w:vAlign w:val="bottom"/>
          </w:tcPr>
          <w:p>
            <w:pPr>
              <w:spacing w:beforeAutospacing="true" w:afterAutospacing="true"/>
              <w:jc w:val="right"/>
            </w:pPr>
            <w:r>
              <w:rPr>
                <w:rFonts w:ascii="Calibri" w:hAnsi="Calibri"/>
                <w:color w:val="000000"/>
                <w:sz w:val="22"/>
              </w:rPr>
              <w:t xml:space="preserve">10</w:t>
            </w:r>
          </w:p>
        </w:tc>
        <w:tc>
          <w:tcPr>
            <w:vAlign w:val="bottom"/>
          </w:tcPr>
          <w:p>
            <w:pPr>
              <w:spacing w:beforeAutospacing="true" w:afterAutospacing="true"/>
              <w:jc w:val="right"/>
            </w:pPr>
            <w:r>
              <w:rPr>
                <w:rFonts w:ascii="Calibri" w:hAnsi="Calibri"/>
                <w:color w:val="000000"/>
                <w:sz w:val="22"/>
              </w:rPr>
              <w:t xml:space="preserve">-2</w:t>
            </w:r>
          </w:p>
        </w:tc>
      </w:tr>
      <w:tr>
        <w:trPr>
          <w:cantSplit w:val="true"/>
        </w:trPr>
        <w:tc>
          <w:tcPr>
            <w:vAlign w:val="top"/>
          </w:tcPr>
          <w:p>
            <w:pPr>
              <w:spacing w:beforeAutospacing="true" w:afterAutospacing="true"/>
              <w:jc w:val="left"/>
            </w:pPr>
            <w:r>
              <w:rPr>
                <w:rFonts w:ascii="Calibri" w:hAnsi="Calibri"/>
                <w:color w:val="000000"/>
                <w:sz w:val="22"/>
              </w:rPr>
              <w:t xml:space="preserve">Construction</w:t>
            </w:r>
          </w:p>
        </w:tc>
        <w:tc>
          <w:tcPr>
            <w:vAlign w:val="bottom"/>
          </w:tcPr>
          <w:p>
            <w:pPr>
              <w:spacing w:beforeAutospacing="true" w:afterAutospacing="true"/>
              <w:jc w:val="right"/>
            </w:pPr>
            <w:r>
              <w:rPr>
                <w:rFonts w:ascii="Calibri" w:hAnsi="Calibri"/>
                <w:color w:val="000000"/>
                <w:sz w:val="22"/>
              </w:rPr>
              <w:t xml:space="preserve">12,281</w:t>
            </w:r>
          </w:p>
        </w:tc>
        <w:tc>
          <w:tcPr>
            <w:vAlign w:val="bottom"/>
          </w:tcPr>
          <w:p>
            <w:pPr>
              <w:spacing w:beforeAutospacing="true" w:afterAutospacing="true"/>
              <w:jc w:val="right"/>
            </w:pPr>
            <w:r>
              <w:rPr>
                <w:rFonts w:ascii="Calibri" w:hAnsi="Calibri"/>
                <w:color w:val="000000"/>
                <w:sz w:val="22"/>
              </w:rPr>
              <w:t xml:space="preserve">14,830</w:t>
            </w:r>
          </w:p>
        </w:tc>
        <w:tc>
          <w:tcPr>
            <w:vAlign w:val="bottom"/>
          </w:tcPr>
          <w:p>
            <w:pPr>
              <w:spacing w:beforeAutospacing="true" w:afterAutospacing="true"/>
              <w:jc w:val="right"/>
            </w:pPr>
            <w:r>
              <w:rPr>
                <w:rFonts w:ascii="Calibri" w:hAnsi="Calibri"/>
                <w:color w:val="000000"/>
                <w:sz w:val="22"/>
              </w:rPr>
              <w:t xml:space="preserve">7</w:t>
            </w:r>
          </w:p>
        </w:tc>
        <w:tc>
          <w:tcPr>
            <w:vAlign w:val="bottom"/>
          </w:tcPr>
          <w:p>
            <w:pPr>
              <w:spacing w:beforeAutospacing="true" w:afterAutospacing="true"/>
              <w:jc w:val="right"/>
            </w:pPr>
            <w:r>
              <w:rPr>
                <w:rFonts w:ascii="Calibri" w:hAnsi="Calibri"/>
                <w:color w:val="000000"/>
                <w:sz w:val="22"/>
              </w:rPr>
              <w:t xml:space="preserve">9</w:t>
            </w:r>
          </w:p>
        </w:tc>
        <w:tc>
          <w:tcPr>
            <w:vAlign w:val="bottom"/>
          </w:tcPr>
          <w:p>
            <w:pPr>
              <w:spacing w:beforeAutospacing="true" w:afterAutospacing="true"/>
              <w:jc w:val="right"/>
            </w:pPr>
            <w:r>
              <w:rPr>
                <w:rFonts w:ascii="Calibri" w:hAnsi="Calibri"/>
                <w:color w:val="000000"/>
                <w:sz w:val="22"/>
              </w:rPr>
              <w:t xml:space="preserve">2</w:t>
            </w:r>
          </w:p>
        </w:tc>
      </w:tr>
      <w:tr>
        <w:trPr>
          <w:cantSplit w:val="true"/>
        </w:trPr>
        <w:tc>
          <w:tcPr>
            <w:vAlign w:val="top"/>
          </w:tcPr>
          <w:p>
            <w:pPr>
              <w:spacing w:beforeAutospacing="true" w:afterAutospacing="true"/>
              <w:jc w:val="left"/>
            </w:pPr>
            <w:r>
              <w:rPr>
                <w:rFonts w:ascii="Calibri" w:hAnsi="Calibri"/>
                <w:color w:val="000000"/>
                <w:sz w:val="22"/>
              </w:rPr>
              <w:t xml:space="preserve">Education and Health Care Services</w:t>
            </w:r>
          </w:p>
        </w:tc>
        <w:tc>
          <w:tcPr>
            <w:vAlign w:val="bottom"/>
          </w:tcPr>
          <w:p>
            <w:pPr>
              <w:spacing w:beforeAutospacing="true" w:afterAutospacing="true"/>
              <w:jc w:val="right"/>
            </w:pPr>
            <w:r>
              <w:rPr>
                <w:rFonts w:ascii="Calibri" w:hAnsi="Calibri"/>
                <w:color w:val="000000"/>
                <w:sz w:val="22"/>
              </w:rPr>
              <w:t xml:space="preserve">26,256</w:t>
            </w:r>
          </w:p>
        </w:tc>
        <w:tc>
          <w:tcPr>
            <w:vAlign w:val="bottom"/>
          </w:tcPr>
          <w:p>
            <w:pPr>
              <w:spacing w:beforeAutospacing="true" w:afterAutospacing="true"/>
              <w:jc w:val="right"/>
            </w:pPr>
            <w:r>
              <w:rPr>
                <w:rFonts w:ascii="Calibri" w:hAnsi="Calibri"/>
                <w:color w:val="000000"/>
                <w:sz w:val="22"/>
              </w:rPr>
              <w:t xml:space="preserve">31,794</w:t>
            </w:r>
          </w:p>
        </w:tc>
        <w:tc>
          <w:tcPr>
            <w:vAlign w:val="bottom"/>
          </w:tcPr>
          <w:p>
            <w:pPr>
              <w:spacing w:beforeAutospacing="true" w:afterAutospacing="true"/>
              <w:jc w:val="right"/>
            </w:pPr>
            <w:r>
              <w:rPr>
                <w:rFonts w:ascii="Calibri" w:hAnsi="Calibri"/>
                <w:color w:val="000000"/>
                <w:sz w:val="22"/>
              </w:rPr>
              <w:t xml:space="preserve">16</w:t>
            </w:r>
          </w:p>
        </w:tc>
        <w:tc>
          <w:tcPr>
            <w:vAlign w:val="bottom"/>
          </w:tcPr>
          <w:p>
            <w:pPr>
              <w:spacing w:beforeAutospacing="true" w:afterAutospacing="true"/>
              <w:jc w:val="right"/>
            </w:pPr>
            <w:r>
              <w:rPr>
                <w:rFonts w:ascii="Calibri" w:hAnsi="Calibri"/>
                <w:color w:val="000000"/>
                <w:sz w:val="22"/>
              </w:rPr>
              <w:t xml:space="preserve">19</w:t>
            </w:r>
          </w:p>
        </w:tc>
        <w:tc>
          <w:tcPr>
            <w:vAlign w:val="bottom"/>
          </w:tcPr>
          <w:p>
            <w:pPr>
              <w:spacing w:beforeAutospacing="true" w:afterAutospacing="true"/>
              <w:jc w:val="right"/>
            </w:pPr>
            <w:r>
              <w:rPr>
                <w:rFonts w:ascii="Calibri" w:hAnsi="Calibri"/>
                <w:color w:val="000000"/>
                <w:sz w:val="22"/>
              </w:rPr>
              <w:t xml:space="preserve">3</w:t>
            </w:r>
          </w:p>
        </w:tc>
      </w:tr>
      <w:tr>
        <w:trPr>
          <w:cantSplit w:val="true"/>
        </w:trPr>
        <w:tc>
          <w:tcPr>
            <w:vAlign w:val="top"/>
          </w:tcPr>
          <w:p>
            <w:pPr>
              <w:spacing w:beforeAutospacing="true" w:afterAutospacing="true"/>
              <w:jc w:val="left"/>
            </w:pPr>
            <w:r>
              <w:rPr>
                <w:rFonts w:ascii="Calibri" w:hAnsi="Calibri"/>
                <w:color w:val="000000"/>
                <w:sz w:val="22"/>
              </w:rPr>
              <w:t xml:space="preserve">Finance, Insurance, and Real Estate</w:t>
            </w:r>
          </w:p>
        </w:tc>
        <w:tc>
          <w:tcPr>
            <w:vAlign w:val="bottom"/>
          </w:tcPr>
          <w:p>
            <w:pPr>
              <w:spacing w:beforeAutospacing="true" w:afterAutospacing="true"/>
              <w:jc w:val="right"/>
            </w:pPr>
            <w:r>
              <w:rPr>
                <w:rFonts w:ascii="Calibri" w:hAnsi="Calibri"/>
                <w:color w:val="000000"/>
                <w:sz w:val="22"/>
              </w:rPr>
              <w:t xml:space="preserve">17,175</w:t>
            </w:r>
          </w:p>
        </w:tc>
        <w:tc>
          <w:tcPr>
            <w:vAlign w:val="bottom"/>
          </w:tcPr>
          <w:p>
            <w:pPr>
              <w:spacing w:beforeAutospacing="true" w:afterAutospacing="true"/>
              <w:jc w:val="right"/>
            </w:pPr>
            <w:r>
              <w:rPr>
                <w:rFonts w:ascii="Calibri" w:hAnsi="Calibri"/>
                <w:color w:val="000000"/>
                <w:sz w:val="22"/>
              </w:rPr>
              <w:t xml:space="preserve">20,148</w:t>
            </w:r>
          </w:p>
        </w:tc>
        <w:tc>
          <w:tcPr>
            <w:vAlign w:val="bottom"/>
          </w:tcPr>
          <w:p>
            <w:pPr>
              <w:spacing w:beforeAutospacing="true" w:afterAutospacing="true"/>
              <w:jc w:val="right"/>
            </w:pPr>
            <w:r>
              <w:rPr>
                <w:rFonts w:ascii="Calibri" w:hAnsi="Calibri"/>
                <w:color w:val="000000"/>
                <w:sz w:val="22"/>
              </w:rPr>
              <w:t xml:space="preserve">10</w:t>
            </w:r>
          </w:p>
        </w:tc>
        <w:tc>
          <w:tcPr>
            <w:vAlign w:val="bottom"/>
          </w:tcPr>
          <w:p>
            <w:pPr>
              <w:spacing w:beforeAutospacing="true" w:afterAutospacing="true"/>
              <w:jc w:val="right"/>
            </w:pPr>
            <w:r>
              <w:rPr>
                <w:rFonts w:ascii="Calibri" w:hAnsi="Calibri"/>
                <w:color w:val="000000"/>
                <w:sz w:val="22"/>
              </w:rPr>
              <w:t xml:space="preserve">12</w:t>
            </w:r>
          </w:p>
        </w:tc>
        <w:tc>
          <w:tcPr>
            <w:vAlign w:val="bottom"/>
          </w:tcPr>
          <w:p>
            <w:pPr>
              <w:spacing w:beforeAutospacing="true" w:afterAutospacing="true"/>
              <w:jc w:val="right"/>
            </w:pPr>
            <w:r>
              <w:rPr>
                <w:rFonts w:ascii="Calibri" w:hAnsi="Calibri"/>
                <w:color w:val="000000"/>
                <w:sz w:val="22"/>
              </w:rPr>
              <w:t xml:space="preserve">2</w:t>
            </w:r>
          </w:p>
        </w:tc>
      </w:tr>
      <w:tr>
        <w:trPr>
          <w:cantSplit w:val="true"/>
        </w:trPr>
        <w:tc>
          <w:tcPr>
            <w:vAlign w:val="top"/>
          </w:tcPr>
          <w:p>
            <w:pPr>
              <w:spacing w:beforeAutospacing="true" w:afterAutospacing="true"/>
              <w:jc w:val="left"/>
            </w:pPr>
            <w:r>
              <w:rPr>
                <w:rFonts w:ascii="Calibri" w:hAnsi="Calibri"/>
                <w:color w:val="000000"/>
                <w:sz w:val="22"/>
              </w:rPr>
              <w:t xml:space="preserve">Information</w:t>
            </w:r>
          </w:p>
        </w:tc>
        <w:tc>
          <w:tcPr>
            <w:vAlign w:val="bottom"/>
          </w:tcPr>
          <w:p>
            <w:pPr>
              <w:spacing w:beforeAutospacing="true" w:afterAutospacing="true"/>
              <w:jc w:val="right"/>
            </w:pPr>
            <w:r>
              <w:rPr>
                <w:rFonts w:ascii="Calibri" w:hAnsi="Calibri"/>
                <w:color w:val="000000"/>
                <w:sz w:val="22"/>
              </w:rPr>
              <w:t xml:space="preserve">5,849</w:t>
            </w:r>
          </w:p>
        </w:tc>
        <w:tc>
          <w:tcPr>
            <w:vAlign w:val="bottom"/>
          </w:tcPr>
          <w:p>
            <w:pPr>
              <w:spacing w:beforeAutospacing="true" w:afterAutospacing="true"/>
              <w:jc w:val="right"/>
            </w:pPr>
            <w:r>
              <w:rPr>
                <w:rFonts w:ascii="Calibri" w:hAnsi="Calibri"/>
                <w:color w:val="000000"/>
                <w:sz w:val="22"/>
              </w:rPr>
              <w:t xml:space="preserve">4,370</w:t>
            </w:r>
          </w:p>
        </w:tc>
        <w:tc>
          <w:tcPr>
            <w:vAlign w:val="bottom"/>
          </w:tcPr>
          <w:p>
            <w:pPr>
              <w:spacing w:beforeAutospacing="true" w:afterAutospacing="true"/>
              <w:jc w:val="right"/>
            </w:pPr>
            <w:r>
              <w:rPr>
                <w:rFonts w:ascii="Calibri" w:hAnsi="Calibri"/>
                <w:color w:val="000000"/>
                <w:sz w:val="22"/>
              </w:rPr>
              <w:t xml:space="preserve">3</w:t>
            </w:r>
          </w:p>
        </w:tc>
        <w:tc>
          <w:tcPr>
            <w:vAlign w:val="bottom"/>
          </w:tcPr>
          <w:p>
            <w:pPr>
              <w:spacing w:beforeAutospacing="true" w:afterAutospacing="true"/>
              <w:jc w:val="right"/>
            </w:pPr>
            <w:r>
              <w:rPr>
                <w:rFonts w:ascii="Calibri" w:hAnsi="Calibri"/>
                <w:color w:val="000000"/>
                <w:sz w:val="22"/>
              </w:rPr>
              <w:t xml:space="preserve">3</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top"/>
          </w:tcPr>
          <w:p>
            <w:pPr>
              <w:spacing w:beforeAutospacing="true" w:afterAutospacing="true"/>
              <w:jc w:val="left"/>
            </w:pPr>
            <w:r>
              <w:rPr>
                <w:rFonts w:ascii="Calibri" w:hAnsi="Calibri"/>
                <w:color w:val="000000"/>
                <w:sz w:val="22"/>
              </w:rPr>
              <w:t xml:space="preserve">Manufacturing</w:t>
            </w:r>
          </w:p>
        </w:tc>
        <w:tc>
          <w:tcPr>
            <w:vAlign w:val="bottom"/>
          </w:tcPr>
          <w:p>
            <w:pPr>
              <w:spacing w:beforeAutospacing="true" w:afterAutospacing="true"/>
              <w:jc w:val="right"/>
            </w:pPr>
            <w:r>
              <w:rPr>
                <w:rFonts w:ascii="Calibri" w:hAnsi="Calibri"/>
                <w:color w:val="000000"/>
                <w:sz w:val="22"/>
              </w:rPr>
              <w:t xml:space="preserve">16,181</w:t>
            </w:r>
          </w:p>
        </w:tc>
        <w:tc>
          <w:tcPr>
            <w:vAlign w:val="bottom"/>
          </w:tcPr>
          <w:p>
            <w:pPr>
              <w:spacing w:beforeAutospacing="true" w:afterAutospacing="true"/>
              <w:jc w:val="right"/>
            </w:pPr>
            <w:r>
              <w:rPr>
                <w:rFonts w:ascii="Calibri" w:hAnsi="Calibri"/>
                <w:color w:val="000000"/>
                <w:sz w:val="22"/>
              </w:rPr>
              <w:t xml:space="preserve">10,852</w:t>
            </w:r>
          </w:p>
        </w:tc>
        <w:tc>
          <w:tcPr>
            <w:vAlign w:val="bottom"/>
          </w:tcPr>
          <w:p>
            <w:pPr>
              <w:spacing w:beforeAutospacing="true" w:afterAutospacing="true"/>
              <w:jc w:val="right"/>
            </w:pPr>
            <w:r>
              <w:rPr>
                <w:rFonts w:ascii="Calibri" w:hAnsi="Calibri"/>
                <w:color w:val="000000"/>
                <w:sz w:val="22"/>
              </w:rPr>
              <w:t xml:space="preserve">10</w:t>
            </w:r>
          </w:p>
        </w:tc>
        <w:tc>
          <w:tcPr>
            <w:vAlign w:val="bottom"/>
          </w:tcPr>
          <w:p>
            <w:pPr>
              <w:spacing w:beforeAutospacing="true" w:afterAutospacing="true"/>
              <w:jc w:val="right"/>
            </w:pPr>
            <w:r>
              <w:rPr>
                <w:rFonts w:ascii="Calibri" w:hAnsi="Calibri"/>
                <w:color w:val="000000"/>
                <w:sz w:val="22"/>
              </w:rPr>
              <w:t xml:space="preserve">7</w:t>
            </w:r>
          </w:p>
        </w:tc>
        <w:tc>
          <w:tcPr>
            <w:vAlign w:val="bottom"/>
          </w:tcPr>
          <w:p>
            <w:pPr>
              <w:spacing w:beforeAutospacing="true" w:afterAutospacing="true"/>
              <w:jc w:val="right"/>
            </w:pPr>
            <w:r>
              <w:rPr>
                <w:rFonts w:ascii="Calibri" w:hAnsi="Calibri"/>
                <w:color w:val="000000"/>
                <w:sz w:val="22"/>
              </w:rPr>
              <w:t xml:space="preserve">-3</w:t>
            </w:r>
          </w:p>
        </w:tc>
      </w:tr>
      <w:tr>
        <w:trPr>
          <w:cantSplit w:val="true"/>
        </w:trPr>
        <w:tc>
          <w:tcPr>
            <w:vAlign w:val="top"/>
          </w:tcPr>
          <w:p>
            <w:pPr>
              <w:spacing w:beforeAutospacing="true" w:afterAutospacing="true"/>
              <w:jc w:val="left"/>
            </w:pPr>
            <w:r>
              <w:rPr>
                <w:rFonts w:ascii="Calibri" w:hAnsi="Calibri"/>
                <w:color w:val="000000"/>
                <w:sz w:val="22"/>
              </w:rPr>
              <w:t xml:space="preserve">Other Services</w:t>
            </w:r>
          </w:p>
        </w:tc>
        <w:tc>
          <w:tcPr>
            <w:vAlign w:val="bottom"/>
          </w:tcPr>
          <w:p>
            <w:pPr>
              <w:spacing w:beforeAutospacing="true" w:afterAutospacing="true"/>
              <w:jc w:val="right"/>
            </w:pPr>
            <w:r>
              <w:rPr>
                <w:rFonts w:ascii="Calibri" w:hAnsi="Calibri"/>
                <w:color w:val="000000"/>
                <w:sz w:val="22"/>
              </w:rPr>
              <w:t xml:space="preserve">5,691</w:t>
            </w:r>
          </w:p>
        </w:tc>
        <w:tc>
          <w:tcPr>
            <w:vAlign w:val="bottom"/>
          </w:tcPr>
          <w:p>
            <w:pPr>
              <w:spacing w:beforeAutospacing="true" w:afterAutospacing="true"/>
              <w:jc w:val="right"/>
            </w:pPr>
            <w:r>
              <w:rPr>
                <w:rFonts w:ascii="Calibri" w:hAnsi="Calibri"/>
                <w:color w:val="000000"/>
                <w:sz w:val="22"/>
              </w:rPr>
              <w:t xml:space="preserve">5,760</w:t>
            </w:r>
          </w:p>
        </w:tc>
        <w:tc>
          <w:tcPr>
            <w:vAlign w:val="bottom"/>
          </w:tcPr>
          <w:p>
            <w:pPr>
              <w:spacing w:beforeAutospacing="true" w:afterAutospacing="true"/>
              <w:jc w:val="right"/>
            </w:pPr>
            <w:r>
              <w:rPr>
                <w:rFonts w:ascii="Calibri" w:hAnsi="Calibri"/>
                <w:color w:val="000000"/>
                <w:sz w:val="22"/>
              </w:rPr>
              <w:t xml:space="preserve">3</w:t>
            </w:r>
          </w:p>
        </w:tc>
        <w:tc>
          <w:tcPr>
            <w:vAlign w:val="bottom"/>
          </w:tcPr>
          <w:p>
            <w:pPr>
              <w:spacing w:beforeAutospacing="true" w:afterAutospacing="true"/>
              <w:jc w:val="right"/>
            </w:pPr>
            <w:r>
              <w:rPr>
                <w:rFonts w:ascii="Calibri" w:hAnsi="Calibri"/>
                <w:color w:val="000000"/>
                <w:sz w:val="22"/>
              </w:rPr>
              <w:t xml:space="preserve">3</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top"/>
          </w:tcPr>
          <w:p>
            <w:pPr>
              <w:spacing w:beforeAutospacing="true" w:afterAutospacing="true"/>
              <w:jc w:val="left"/>
            </w:pPr>
            <w:r>
              <w:rPr>
                <w:rFonts w:ascii="Calibri" w:hAnsi="Calibri"/>
                <w:color w:val="000000"/>
                <w:sz w:val="22"/>
              </w:rPr>
              <w:t xml:space="preserve">Professional, Scientific, Management Services</w:t>
            </w:r>
          </w:p>
        </w:tc>
        <w:tc>
          <w:tcPr>
            <w:vAlign w:val="bottom"/>
          </w:tcPr>
          <w:p>
            <w:pPr>
              <w:spacing w:beforeAutospacing="true" w:afterAutospacing="true"/>
              <w:jc w:val="right"/>
            </w:pPr>
            <w:r>
              <w:rPr>
                <w:rFonts w:ascii="Calibri" w:hAnsi="Calibri"/>
                <w:color w:val="000000"/>
                <w:sz w:val="22"/>
              </w:rPr>
              <w:t xml:space="preserve">20,820</w:t>
            </w:r>
          </w:p>
        </w:tc>
        <w:tc>
          <w:tcPr>
            <w:vAlign w:val="bottom"/>
          </w:tcPr>
          <w:p>
            <w:pPr>
              <w:spacing w:beforeAutospacing="true" w:afterAutospacing="true"/>
              <w:jc w:val="right"/>
            </w:pPr>
            <w:r>
              <w:rPr>
                <w:rFonts w:ascii="Calibri" w:hAnsi="Calibri"/>
                <w:color w:val="000000"/>
                <w:sz w:val="22"/>
              </w:rPr>
              <w:t xml:space="preserve">18,858</w:t>
            </w:r>
          </w:p>
        </w:tc>
        <w:tc>
          <w:tcPr>
            <w:vAlign w:val="bottom"/>
          </w:tcPr>
          <w:p>
            <w:pPr>
              <w:spacing w:beforeAutospacing="true" w:afterAutospacing="true"/>
              <w:jc w:val="right"/>
            </w:pPr>
            <w:r>
              <w:rPr>
                <w:rFonts w:ascii="Calibri" w:hAnsi="Calibri"/>
                <w:color w:val="000000"/>
                <w:sz w:val="22"/>
              </w:rPr>
              <w:t xml:space="preserve">12</w:t>
            </w:r>
          </w:p>
        </w:tc>
        <w:tc>
          <w:tcPr>
            <w:vAlign w:val="bottom"/>
          </w:tcPr>
          <w:p>
            <w:pPr>
              <w:spacing w:beforeAutospacing="true" w:afterAutospacing="true"/>
              <w:jc w:val="right"/>
            </w:pPr>
            <w:r>
              <w:rPr>
                <w:rFonts w:ascii="Calibri" w:hAnsi="Calibri"/>
                <w:color w:val="000000"/>
                <w:sz w:val="22"/>
              </w:rPr>
              <w:t xml:space="preserve">11</w:t>
            </w:r>
          </w:p>
        </w:tc>
        <w:tc>
          <w:tcPr>
            <w:vAlign w:val="bottom"/>
          </w:tcPr>
          <w:p>
            <w:pPr>
              <w:spacing w:beforeAutospacing="true" w:afterAutospacing="true"/>
              <w:jc w:val="right"/>
            </w:pPr>
            <w:r>
              <w:rPr>
                <w:rFonts w:ascii="Calibri" w:hAnsi="Calibri"/>
                <w:color w:val="000000"/>
                <w:sz w:val="22"/>
              </w:rPr>
              <w:t xml:space="preserve">-1</w:t>
            </w:r>
          </w:p>
        </w:tc>
      </w:tr>
      <w:tr>
        <w:trPr>
          <w:cantSplit w:val="true"/>
        </w:trPr>
        <w:tc>
          <w:tcPr>
            <w:vAlign w:val="top"/>
          </w:tcPr>
          <w:p>
            <w:pPr>
              <w:spacing w:beforeAutospacing="true" w:afterAutospacing="true"/>
              <w:jc w:val="left"/>
            </w:pPr>
            <w:r>
              <w:rPr>
                <w:rFonts w:ascii="Calibri" w:hAnsi="Calibri"/>
                <w:color w:val="000000"/>
                <w:sz w:val="22"/>
              </w:rPr>
              <w:t xml:space="preserve">Public Administration</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top"/>
          </w:tcPr>
          <w:p>
            <w:pPr>
              <w:spacing w:beforeAutospacing="true" w:afterAutospacing="true"/>
              <w:jc w:val="left"/>
            </w:pPr>
            <w:r>
              <w:rPr>
                <w:rFonts w:ascii="Calibri" w:hAnsi="Calibri"/>
                <w:color w:val="000000"/>
                <w:sz w:val="22"/>
              </w:rPr>
              <w:t xml:space="preserve">Retail Trade</w:t>
            </w:r>
          </w:p>
        </w:tc>
        <w:tc>
          <w:tcPr>
            <w:vAlign w:val="bottom"/>
          </w:tcPr>
          <w:p>
            <w:pPr>
              <w:spacing w:beforeAutospacing="true" w:afterAutospacing="true"/>
              <w:jc w:val="right"/>
            </w:pPr>
            <w:r>
              <w:rPr>
                <w:rFonts w:ascii="Calibri" w:hAnsi="Calibri"/>
                <w:color w:val="000000"/>
                <w:sz w:val="22"/>
              </w:rPr>
              <w:t xml:space="preserve">24,796</w:t>
            </w:r>
          </w:p>
        </w:tc>
        <w:tc>
          <w:tcPr>
            <w:vAlign w:val="bottom"/>
          </w:tcPr>
          <w:p>
            <w:pPr>
              <w:spacing w:beforeAutospacing="true" w:afterAutospacing="true"/>
              <w:jc w:val="right"/>
            </w:pPr>
            <w:r>
              <w:rPr>
                <w:rFonts w:ascii="Calibri" w:hAnsi="Calibri"/>
                <w:color w:val="000000"/>
                <w:sz w:val="22"/>
              </w:rPr>
              <w:t xml:space="preserve">27,551</w:t>
            </w:r>
          </w:p>
        </w:tc>
        <w:tc>
          <w:tcPr>
            <w:vAlign w:val="bottom"/>
          </w:tcPr>
          <w:p>
            <w:pPr>
              <w:spacing w:beforeAutospacing="true" w:afterAutospacing="true"/>
              <w:jc w:val="right"/>
            </w:pPr>
            <w:r>
              <w:rPr>
                <w:rFonts w:ascii="Calibri" w:hAnsi="Calibri"/>
                <w:color w:val="000000"/>
                <w:sz w:val="22"/>
              </w:rPr>
              <w:t xml:space="preserve">15</w:t>
            </w:r>
          </w:p>
        </w:tc>
        <w:tc>
          <w:tcPr>
            <w:vAlign w:val="bottom"/>
          </w:tcPr>
          <w:p>
            <w:pPr>
              <w:spacing w:beforeAutospacing="true" w:afterAutospacing="true"/>
              <w:jc w:val="right"/>
            </w:pPr>
            <w:r>
              <w:rPr>
                <w:rFonts w:ascii="Calibri" w:hAnsi="Calibri"/>
                <w:color w:val="000000"/>
                <w:sz w:val="22"/>
              </w:rPr>
              <w:t xml:space="preserve">17</w:t>
            </w:r>
          </w:p>
        </w:tc>
        <w:tc>
          <w:tcPr>
            <w:vAlign w:val="bottom"/>
          </w:tcPr>
          <w:p>
            <w:pPr>
              <w:spacing w:beforeAutospacing="true" w:afterAutospacing="true"/>
              <w:jc w:val="right"/>
            </w:pPr>
            <w:r>
              <w:rPr>
                <w:rFonts w:ascii="Calibri" w:hAnsi="Calibri"/>
                <w:color w:val="000000"/>
                <w:sz w:val="22"/>
              </w:rPr>
              <w:t xml:space="preserve">2</w:t>
            </w:r>
          </w:p>
        </w:tc>
      </w:tr>
      <w:tr>
        <w:trPr>
          <w:cantSplit w:val="true"/>
        </w:trPr>
        <w:tc>
          <w:tcPr>
            <w:vAlign w:val="top"/>
          </w:tcPr>
          <w:p>
            <w:pPr>
              <w:spacing w:beforeAutospacing="true" w:afterAutospacing="true"/>
              <w:jc w:val="left"/>
            </w:pPr>
            <w:r>
              <w:rPr>
                <w:rFonts w:ascii="Calibri" w:hAnsi="Calibri"/>
                <w:color w:val="000000"/>
                <w:sz w:val="22"/>
              </w:rPr>
              <w:t xml:space="preserve">Transportation and Warehousing</w:t>
            </w:r>
          </w:p>
        </w:tc>
        <w:tc>
          <w:tcPr>
            <w:vAlign w:val="bottom"/>
          </w:tcPr>
          <w:p>
            <w:pPr>
              <w:spacing w:beforeAutospacing="true" w:afterAutospacing="true"/>
              <w:jc w:val="right"/>
            </w:pPr>
            <w:r>
              <w:rPr>
                <w:rFonts w:ascii="Calibri" w:hAnsi="Calibri"/>
                <w:color w:val="000000"/>
                <w:sz w:val="22"/>
              </w:rPr>
              <w:t xml:space="preserve">7,677</w:t>
            </w:r>
          </w:p>
        </w:tc>
        <w:tc>
          <w:tcPr>
            <w:vAlign w:val="bottom"/>
          </w:tcPr>
          <w:p>
            <w:pPr>
              <w:spacing w:beforeAutospacing="true" w:afterAutospacing="true"/>
              <w:jc w:val="right"/>
            </w:pPr>
            <w:r>
              <w:rPr>
                <w:rFonts w:ascii="Calibri" w:hAnsi="Calibri"/>
                <w:color w:val="000000"/>
                <w:sz w:val="22"/>
              </w:rPr>
              <w:t xml:space="preserve">2,198</w:t>
            </w:r>
          </w:p>
        </w:tc>
        <w:tc>
          <w:tcPr>
            <w:vAlign w:val="bottom"/>
          </w:tcPr>
          <w:p>
            <w:pPr>
              <w:spacing w:beforeAutospacing="true" w:afterAutospacing="true"/>
              <w:jc w:val="right"/>
            </w:pPr>
            <w:r>
              <w:rPr>
                <w:rFonts w:ascii="Calibri" w:hAnsi="Calibri"/>
                <w:color w:val="000000"/>
                <w:sz w:val="22"/>
              </w:rPr>
              <w:t xml:space="preserve">5</w:t>
            </w:r>
          </w:p>
        </w:tc>
        <w:tc>
          <w:tcPr>
            <w:vAlign w:val="bottom"/>
          </w:tcPr>
          <w:p>
            <w:pPr>
              <w:spacing w:beforeAutospacing="true" w:afterAutospacing="true"/>
              <w:jc w:val="right"/>
            </w:pPr>
            <w:r>
              <w:rPr>
                <w:rFonts w:ascii="Calibri" w:hAnsi="Calibri"/>
                <w:color w:val="000000"/>
                <w:sz w:val="22"/>
              </w:rPr>
              <w:t xml:space="preserve">1</w:t>
            </w:r>
          </w:p>
        </w:tc>
        <w:tc>
          <w:tcPr>
            <w:vAlign w:val="bottom"/>
          </w:tcPr>
          <w:p>
            <w:pPr>
              <w:spacing w:beforeAutospacing="true" w:afterAutospacing="true"/>
              <w:jc w:val="right"/>
            </w:pPr>
            <w:r>
              <w:rPr>
                <w:rFonts w:ascii="Calibri" w:hAnsi="Calibri"/>
                <w:color w:val="000000"/>
                <w:sz w:val="22"/>
              </w:rPr>
              <w:t xml:space="preserve">-4</w:t>
            </w:r>
          </w:p>
        </w:tc>
      </w:tr>
      <w:tr>
        <w:trPr>
          <w:cantSplit w:val="true"/>
        </w:trPr>
        <w:tc>
          <w:tcPr>
            <w:vAlign w:val="top"/>
          </w:tcPr>
          <w:p>
            <w:pPr>
              <w:spacing w:beforeAutospacing="true" w:afterAutospacing="true"/>
              <w:jc w:val="left"/>
            </w:pPr>
            <w:r>
              <w:rPr>
                <w:rFonts w:ascii="Calibri" w:hAnsi="Calibri"/>
                <w:color w:val="000000"/>
                <w:sz w:val="22"/>
              </w:rPr>
              <w:t xml:space="preserve">Wholesale Trade</w:t>
            </w:r>
          </w:p>
        </w:tc>
        <w:tc>
          <w:tcPr>
            <w:vAlign w:val="bottom"/>
          </w:tcPr>
          <w:p>
            <w:pPr>
              <w:spacing w:beforeAutospacing="true" w:afterAutospacing="true"/>
              <w:jc w:val="right"/>
            </w:pPr>
            <w:r>
              <w:rPr>
                <w:rFonts w:ascii="Calibri" w:hAnsi="Calibri"/>
                <w:color w:val="000000"/>
                <w:sz w:val="22"/>
              </w:rPr>
              <w:t xml:space="preserve">9,311</w:t>
            </w:r>
          </w:p>
        </w:tc>
        <w:tc>
          <w:tcPr>
            <w:vAlign w:val="bottom"/>
          </w:tcPr>
          <w:p>
            <w:pPr>
              <w:spacing w:beforeAutospacing="true" w:afterAutospacing="true"/>
              <w:jc w:val="right"/>
            </w:pPr>
            <w:r>
              <w:rPr>
                <w:rFonts w:ascii="Calibri" w:hAnsi="Calibri"/>
                <w:color w:val="000000"/>
                <w:sz w:val="22"/>
              </w:rPr>
              <w:t xml:space="preserve">10,812</w:t>
            </w:r>
          </w:p>
        </w:tc>
        <w:tc>
          <w:tcPr>
            <w:vAlign w:val="bottom"/>
          </w:tcPr>
          <w:p>
            <w:pPr>
              <w:spacing w:beforeAutospacing="true" w:afterAutospacing="true"/>
              <w:jc w:val="right"/>
            </w:pPr>
            <w:r>
              <w:rPr>
                <w:rFonts w:ascii="Calibri" w:hAnsi="Calibri"/>
                <w:color w:val="000000"/>
                <w:sz w:val="22"/>
              </w:rPr>
              <w:t xml:space="preserve">6</w:t>
            </w:r>
          </w:p>
        </w:tc>
        <w:tc>
          <w:tcPr>
            <w:vAlign w:val="bottom"/>
          </w:tcPr>
          <w:p>
            <w:pPr>
              <w:spacing w:beforeAutospacing="true" w:afterAutospacing="true"/>
              <w:jc w:val="right"/>
            </w:pPr>
            <w:r>
              <w:rPr>
                <w:rFonts w:ascii="Calibri" w:hAnsi="Calibri"/>
                <w:color w:val="000000"/>
                <w:sz w:val="22"/>
              </w:rPr>
              <w:t xml:space="preserve">7</w:t>
            </w:r>
          </w:p>
        </w:tc>
        <w:tc>
          <w:tcPr>
            <w:vAlign w:val="bottom"/>
          </w:tcPr>
          <w:p>
            <w:pPr>
              <w:spacing w:beforeAutospacing="true" w:afterAutospacing="true"/>
              <w:jc w:val="right"/>
            </w:pPr>
            <w:r>
              <w:rPr>
                <w:rFonts w:ascii="Calibri" w:hAnsi="Calibri"/>
                <w:color w:val="000000"/>
                <w:sz w:val="22"/>
              </w:rPr>
              <w:t xml:space="preserve">1</w:t>
            </w:r>
          </w:p>
        </w:tc>
      </w:tr>
      <w:tr>
        <w:trPr>
          <w:cantSplit w:val="true"/>
        </w:trPr>
        <w:tc>
          <w:tcPr>
            <w:vAlign w:val="top"/>
          </w:tcPr>
          <w:p>
            <w:pPr>
              <w:spacing w:beforeAutospacing="true" w:afterAutospacing="true"/>
              <w:jc w:val="left"/>
            </w:pPr>
            <w:r>
              <w:rPr>
                <w:rFonts w:ascii="Calibri" w:hAnsi="Calibri"/>
                <w:color w:val="000000"/>
                <w:sz w:val="22"/>
              </w:rPr>
              <w:t xml:space="preserve">Total</w:t>
            </w:r>
          </w:p>
        </w:tc>
        <w:tc>
          <w:tcPr>
            <w:vAlign w:val="bottom"/>
          </w:tcPr>
          <w:p>
            <w:pPr>
              <w:spacing w:beforeAutospacing="true" w:afterAutospacing="true"/>
              <w:jc w:val="right"/>
            </w:pPr>
            <w:r>
              <w:rPr>
                <w:rFonts w:ascii="Calibri" w:hAnsi="Calibri"/>
                <w:color w:val="000000"/>
                <w:sz w:val="22"/>
              </w:rPr>
              <w:t xml:space="preserve">167,440</w:t>
            </w:r>
          </w:p>
        </w:tc>
        <w:tc>
          <w:tcPr>
            <w:vAlign w:val="bottom"/>
          </w:tcPr>
          <w:p>
            <w:pPr>
              <w:spacing w:beforeAutospacing="true" w:afterAutospacing="true"/>
              <w:jc w:val="right"/>
            </w:pPr>
            <w:r>
              <w:rPr>
                <w:rFonts w:ascii="Calibri" w:hAnsi="Calibri"/>
                <w:color w:val="000000"/>
                <w:sz w:val="22"/>
              </w:rPr>
              <w:t xml:space="preserve">166,144</w:t>
            </w:r>
          </w:p>
        </w:tc>
        <w:tc>
          <w:tcPr>
            <w:vAlign w:val="bottom"/>
          </w:tcPr>
          <w:p>
            <w:pPr>
              <w:spacing w:beforeAutospacing="true" w:afterAutospacing="true"/>
              <w:jc w:val="right"/>
            </w:pPr>
            <w:r>
              <w:rPr>
                <w:rFonts w:ascii="Calibri" w:hAnsi="Calibri"/>
                <w:color w:val="000000"/>
                <w:sz w:val="22"/>
              </w:rPr>
              <w:t xml:space="preserve">--</w:t>
            </w:r>
          </w:p>
        </w:tc>
        <w:tc>
          <w:tcPr>
            <w:vAlign w:val="bottom"/>
          </w:tcPr>
          <w:p>
            <w:pPr>
              <w:spacing w:beforeAutospacing="true" w:afterAutospacing="true"/>
              <w:jc w:val="right"/>
            </w:pPr>
            <w:r>
              <w:rPr>
                <w:rFonts w:ascii="Calibri" w:hAnsi="Calibri"/>
                <w:color w:val="000000"/>
                <w:sz w:val="22"/>
              </w:rPr>
              <w:t xml:space="preserve">--</w:t>
            </w:r>
          </w:p>
        </w:tc>
        <w:tc>
          <w:tcPr>
            <w:vAlign w:val="bottom"/>
          </w:tcPr>
          <w:p>
            <w:pPr>
              <w:spacing w:beforeAutospacing="true" w:afterAutospacing="true"/>
              <w:jc w:val="right"/>
            </w:pPr>
            <w:r>
              <w:rPr>
                <w:rFonts w:ascii="Calibri" w:hAnsi="Calibri"/>
                <w:color w:val="000000"/>
                <w:sz w:val="22"/>
              </w:rPr>
              <w:t xml:space="preserve">--</w:t>
            </w:r>
          </w:p>
        </w:tc>
      </w:tr>
    </w:tbl>
    <w:p>
      <w:pPr>
        <w:pStyle w:val="Caption"/>
        <w:jc w:val="center"/>
        <w:rPr>
          <w:rFonts w:asciiTheme="minorHAnsi" w:hAnsiTheme="minorHAnsi"/>
        </w:rPr>
      </w:pPr>
      <w:r>
        <w:rPr>
          <w:rFonts w:asciiTheme="minorHAnsi" w:hAnsiTheme="minorHAnsi"/>
        </w:rPr>
        <w:t xml:space="preserve">Table </w:t>
        <w:fldChar w:fldCharType="begin"/>
        <w:instrText xml:space="preserve"> SEQ Table \* ARABIC </w:instrText>
        <w:fldChar w:fldCharType="separate"/>
        <w:t>11</w:t>
        <w:fldChar w:fldCharType="end"/>
        <w:t xml:space="preserve"> - Business Activity</w:t>
      </w:r>
    </w:p>
    <w:tbl>
      <w:tblPr>
        <w:tblW w:w="5000" w:type="pct"/>
        <w:tblInd w:w="115" w:type="dxa"/>
        <w:tblLook w:firstRow="1" w:lastRow="1" w:firstColumn="1" w:lastColumn="1" w:noHBand="0" w:noVBand="0" w:val="01E0"/>
      </w:tblPr>
      <w:tblGrid>
        <w:gridCol w:w="1073"/>
        <w:gridCol w:w="12103"/>
      </w:tblGrid>
      <w:tr>
        <w:trPr>
          <w:cantSplit/>
        </w:trPr>
        <w:tc>
          <w:tcPr>
            <w:tcW w:w="1073" w:type="dxa"/>
          </w:tcPr>
          <w:p>
            <w:pPr>
              <w:spacing w:after="0" w:line="240" w:lineRule="auto"/>
              <w:rPr>
                <w:rFonts w:cs="Arial"/>
                <w:sz w:val="16"/>
                <w:szCs w:val="16"/>
              </w:rPr>
            </w:pPr>
            <w:r>
              <w:rPr>
                <w:b/>
                <w:bCs/>
                <w:sz w:val="16"/>
                <w:szCs w:val="16"/>
              </w:rPr>
              <w:t>Data Source:</w:t>
            </w:r>
          </w:p>
        </w:tc>
        <w:tc>
          <w:tcPr>
            <w:tcW w:w="12103" w:type="dxa"/>
          </w:tcPr>
          <w:p>
            <w:pPr>
              <w:spacing w:beforeAutospacing="true" w:afterAutospacing="true"/>
              <w:rPr>
                <w:rFonts w:cs="Arial"/>
                <w:sz w:val="16"/>
                <w:szCs w:val="16"/>
              </w:rPr>
            </w:pPr>
            <w:r>
              <w:rPr>
                <w:rFonts w:cs="Arial"/>
                <w:sz w:val="16"/>
                <w:szCs w:val="16"/>
              </w:rPr>
              <w:t xml:space="preserve">2011-2015 ACS (Workers), 2015 Longitudinal Employer-Household Dynamics (Jobs)</w:t>
            </w:r>
          </w:p>
        </w:tc>
      </w:tr>
    </w:tbl>
    <w:p>
      <w:pPr>
        <w:keepNext/>
        <w:widowControl w:val="false"/>
        <w:spacing w:after="0" w:line="240" w:lineRule="auto"/>
        <w:jc w:val="center"/>
        <w:rPr>
          <w:b/>
          <w:bCs/>
          <w:vanish/>
          <w:sz w:val="20"/>
          <w:szCs w:val="20"/>
        </w:rPr>
      </w:pPr>
    </w:p>
    <w:p>
      <w:pPr>
        <w:rPr>
          <w:b/>
          <w:bCs/>
          <w:vanish/>
          <w:sz w:val="16"/>
          <w:szCs w:val="16"/>
        </w:rPr>
      </w:pPr>
    </w:p>
    <w:tbl>
      <w:tblPr>
        <w:tblW w:w="5000" w:type="pct"/>
        <w:tblInd w:w="115" w:type="dxa"/>
        <w:tblLook w:firstRow="1" w:lastRow="1" w:firstColumn="1" w:lastColumn="1" w:noHBand="0" w:noVBand="0" w:val="01E0"/>
      </w:tblPr>
      <w:tblGrid>
        <w:gridCol w:w="1973"/>
        <w:gridCol w:w="11203"/>
      </w:tblGrid>
    </w:tbl>
    <w:p>
      <w:pPr>
        <w:keepNext/>
        <w:widowControl w:val="false"/>
      </w:pPr>
    </w:p>
    <w:p>
      <w:pPr>
        <w:keepNext/>
        <w:widowControl w:val="false"/>
      </w:pPr>
    </w:p>
    <w:p>
      <w:pPr>
        <w:keepNext/>
        <w:widowControl w:val="false"/>
        <w:rPr>
          <w:b/>
          <w:sz w:val="24"/>
          <w:szCs w:val="24"/>
        </w:rPr>
      </w:pPr>
      <w:r>
        <w:rPr>
          <w:b/>
          <w:sz w:val="24"/>
          <w:szCs w:val="24"/>
        </w:rPr>
        <w:t>Labor Force</w:t>
      </w:r>
    </w:p>
    <w:tbl>
      <w:tblPr>
        <w:tblW w:w="5000" w:type="pct"/>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firstRow="1" w:lastRow="1" w:firstColumn="1" w:lastColumn="1" w:noHBand="0" w:noVBand="0" w:val="01E0"/>
      </w:tblPr>
      <w:tblGrid>
        <w:gridCol w:w="6262"/>
        <w:gridCol w:w="6914"/>
      </w:tblGrid>
      <w:tr>
        <w:trPr>
          <w:cantSplit/>
          <w:hidden/>
        </w:trPr>
        <w:tc>
          <w:tcPr>
            <w:tcW w:w="4500" w:type="dxa"/>
            <w:tcBorders>
              <w:right w:val="nil"/>
            </w:tcBorders>
          </w:tcPr>
          <w:p>
            <w:pPr>
              <w:keepNext/>
              <w:widowControl w:val="false"/>
              <w:spacing w:after="0" w:line="240" w:lineRule="auto"/>
              <w:rPr>
                <w:vanish/>
                <w:sz w:val="4"/>
                <w:szCs w:val="4"/>
              </w:rPr>
            </w:pPr>
          </w:p>
        </w:tc>
        <w:tc>
          <w:tcPr>
            <w:tcW w:w="4968" w:type="dxa"/>
            <w:tcBorders>
              <w:left w:val="nil"/>
            </w:tcBorders>
          </w:tcPr>
          <w:p>
            <w:pPr>
              <w:keepNext/>
              <w:widowControl w:val="false"/>
              <w:spacing w:after="0" w:line="240" w:lineRule="auto"/>
              <w:jc w:val="center"/>
              <w:rPr>
                <w:vanish/>
                <w:sz w:val="4"/>
                <w:szCs w:val="4"/>
              </w:rPr>
            </w:pPr>
          </w:p>
        </w:tc>
      </w:tr>
      <w:tr>
        <w:trPr>
          <w:cantSplit w:val="true"/>
        </w:trPr>
        <w:tc>
          <w:tcPr>
            <w:vAlign w:val="top"/>
          </w:tcPr>
          <w:p>
            <w:pPr>
              <w:spacing w:beforeAutospacing="true" w:afterAutospacing="true"/>
              <w:jc w:val="left"/>
            </w:pPr>
            <w:r>
              <w:rPr>
                <w:rFonts w:ascii="Calibri" w:hAnsi="Calibri"/>
                <w:color w:val="000000"/>
                <w:sz w:val="22"/>
              </w:rPr>
              <w:t xml:space="preserve">Total Population in the Civilian Labor Force</w:t>
            </w:r>
          </w:p>
        </w:tc>
        <w:tc>
          <w:tcPr>
            <w:vAlign w:val="bottom"/>
          </w:tcPr>
          <w:p>
            <w:pPr>
              <w:spacing w:beforeAutospacing="true" w:afterAutospacing="true"/>
              <w:jc w:val="right"/>
            </w:pPr>
            <w:r>
              <w:rPr>
                <w:rFonts w:ascii="Calibri" w:hAnsi="Calibri"/>
                <w:color w:val="000000"/>
                <w:sz w:val="22"/>
              </w:rPr>
              <w:t xml:space="preserve">225,809</w:t>
            </w:r>
          </w:p>
        </w:tc>
      </w:tr>
      <w:tr>
        <w:trPr>
          <w:cantSplit w:val="true"/>
        </w:trPr>
        <w:tc>
          <w:tcPr>
            <w:vAlign w:val="top"/>
          </w:tcPr>
          <w:p>
            <w:pPr>
              <w:spacing w:beforeAutospacing="true" w:afterAutospacing="true"/>
              <w:jc w:val="left"/>
            </w:pPr>
            <w:r>
              <w:rPr>
                <w:rFonts w:ascii="Calibri" w:hAnsi="Calibri"/>
                <w:color w:val="000000"/>
                <w:sz w:val="22"/>
              </w:rPr>
              <w:t xml:space="preserve">Civilian Employed Population 16 years and over</w:t>
            </w:r>
          </w:p>
        </w:tc>
        <w:tc>
          <w:tcPr>
            <w:vAlign w:val="bottom"/>
          </w:tcPr>
          <w:p>
            <w:pPr>
              <w:spacing w:beforeAutospacing="true" w:afterAutospacing="true"/>
              <w:jc w:val="right"/>
            </w:pPr>
            <w:r>
              <w:rPr>
                <w:rFonts w:ascii="Calibri" w:hAnsi="Calibri"/>
                <w:color w:val="000000"/>
                <w:sz w:val="22"/>
              </w:rPr>
              <w:t xml:space="preserve">214,154</w:t>
            </w:r>
          </w:p>
        </w:tc>
      </w:tr>
      <w:tr>
        <w:trPr>
          <w:cantSplit w:val="true"/>
        </w:trPr>
        <w:tc>
          <w:tcPr>
            <w:vAlign w:val="top"/>
          </w:tcPr>
          <w:p>
            <w:pPr>
              <w:spacing w:beforeAutospacing="true" w:afterAutospacing="true"/>
              <w:jc w:val="left"/>
            </w:pPr>
            <w:r>
              <w:rPr>
                <w:rFonts w:ascii="Calibri" w:hAnsi="Calibri"/>
                <w:color w:val="000000"/>
                <w:sz w:val="22"/>
              </w:rPr>
              <w:t xml:space="preserve">Unemployment Rate</w:t>
            </w:r>
          </w:p>
        </w:tc>
        <w:tc>
          <w:tcPr>
            <w:vAlign w:val="bottom"/>
          </w:tcPr>
          <w:p>
            <w:pPr>
              <w:spacing w:beforeAutospacing="true" w:afterAutospacing="true"/>
              <w:jc w:val="right"/>
            </w:pPr>
            <w:r>
              <w:rPr>
                <w:rFonts w:ascii="Calibri" w:hAnsi="Calibri"/>
                <w:color w:val="000000"/>
                <w:sz w:val="22"/>
              </w:rPr>
              <w:t xml:space="preserve">5.16</w:t>
            </w:r>
          </w:p>
        </w:tc>
      </w:tr>
      <w:tr>
        <w:trPr>
          <w:cantSplit w:val="true"/>
        </w:trPr>
        <w:tc>
          <w:tcPr>
            <w:vAlign w:val="top"/>
          </w:tcPr>
          <w:p>
            <w:pPr>
              <w:spacing w:beforeAutospacing="true" w:afterAutospacing="true"/>
              <w:jc w:val="left"/>
            </w:pPr>
            <w:r>
              <w:rPr>
                <w:rFonts w:ascii="Calibri" w:hAnsi="Calibri"/>
                <w:color w:val="000000"/>
                <w:sz w:val="22"/>
              </w:rPr>
              <w:t xml:space="preserve">Unemployment Rate for Ages 16-24</w:t>
            </w:r>
          </w:p>
        </w:tc>
        <w:tc>
          <w:tcPr>
            <w:vAlign w:val="bottom"/>
          </w:tcPr>
          <w:p>
            <w:pPr>
              <w:spacing w:beforeAutospacing="true" w:afterAutospacing="true"/>
              <w:jc w:val="right"/>
            </w:pPr>
            <w:r>
              <w:rPr>
                <w:rFonts w:ascii="Calibri" w:hAnsi="Calibri"/>
                <w:color w:val="000000"/>
                <w:sz w:val="22"/>
              </w:rPr>
              <w:t xml:space="preserve">19.36</w:t>
            </w:r>
          </w:p>
        </w:tc>
      </w:tr>
      <w:tr>
        <w:trPr>
          <w:cantSplit w:val="true"/>
        </w:trPr>
        <w:tc>
          <w:tcPr>
            <w:vAlign w:val="top"/>
          </w:tcPr>
          <w:p>
            <w:pPr>
              <w:spacing w:beforeAutospacing="true" w:afterAutospacing="true"/>
              <w:jc w:val="left"/>
            </w:pPr>
            <w:r>
              <w:rPr>
                <w:rFonts w:ascii="Calibri" w:hAnsi="Calibri"/>
                <w:color w:val="000000"/>
                <w:sz w:val="22"/>
              </w:rPr>
              <w:t xml:space="preserve">Unemployment Rate for Ages 25-65</w:t>
            </w:r>
          </w:p>
        </w:tc>
        <w:tc>
          <w:tcPr>
            <w:vAlign w:val="bottom"/>
          </w:tcPr>
          <w:p>
            <w:pPr>
              <w:spacing w:beforeAutospacing="true" w:afterAutospacing="true"/>
              <w:jc w:val="right"/>
            </w:pPr>
            <w:r>
              <w:rPr>
                <w:rFonts w:ascii="Calibri" w:hAnsi="Calibri"/>
                <w:color w:val="000000"/>
                <w:sz w:val="22"/>
              </w:rPr>
              <w:t xml:space="preserve">3.14</w:t>
            </w:r>
          </w:p>
        </w:tc>
      </w:tr>
    </w:tbl>
    <w:p>
      <w:pPr>
        <w:pStyle w:val="Caption"/>
        <w:jc w:val="center"/>
        <w:rPr>
          <w:rFonts w:asciiTheme="minorHAnsi" w:hAnsiTheme="minorHAnsi"/>
        </w:rPr>
      </w:pPr>
      <w:r>
        <w:rPr>
          <w:rFonts w:asciiTheme="minorHAnsi" w:hAnsiTheme="minorHAnsi"/>
        </w:rPr>
        <w:t xml:space="preserve">Table </w:t>
        <w:fldChar w:fldCharType="begin"/>
        <w:instrText xml:space="preserve"> SEQ Table \* ARABIC </w:instrText>
        <w:fldChar w:fldCharType="separate"/>
        <w:t>12</w:t>
        <w:fldChar w:fldCharType="end"/>
        <w:t xml:space="preserve"> - Labor Force</w:t>
      </w:r>
    </w:p>
    <w:tbl>
      <w:tblPr>
        <w:tblW w:w="5000" w:type="pct"/>
        <w:tblInd w:w="115" w:type="dxa"/>
        <w:tblLook w:firstRow="1" w:lastRow="1" w:firstColumn="1" w:lastColumn="1" w:noHBand="0" w:noVBand="0" w:val="01E0"/>
      </w:tblPr>
      <w:tblGrid>
        <w:gridCol w:w="1476"/>
        <w:gridCol w:w="11700"/>
      </w:tblGrid>
      <w:tr>
        <w:trPr>
          <w:cantSplit/>
        </w:trPr>
        <w:tc>
          <w:tcPr>
            <w:tcW w:w="1073" w:type="dxa"/>
          </w:tcPr>
          <w:p>
            <w:pPr>
              <w:spacing w:after="0" w:line="240" w:lineRule="auto"/>
              <w:rPr>
                <w:rFonts w:cs="Arial"/>
                <w:sz w:val="16"/>
                <w:szCs w:val="16"/>
              </w:rPr>
            </w:pPr>
            <w:r>
              <w:rPr>
                <w:b/>
                <w:bCs/>
                <w:sz w:val="16"/>
                <w:szCs w:val="16"/>
              </w:rPr>
              <w:t>Data Source:</w:t>
            </w:r>
          </w:p>
        </w:tc>
        <w:tc>
          <w:tcPr>
            <w:tcW w:w="8503" w:type="dxa"/>
          </w:tcPr>
          <w:p>
            <w:pPr>
              <w:spacing w:beforeAutospacing="true" w:afterAutospacing="true"/>
              <w:rPr>
                <w:rFonts w:cs="Arial"/>
                <w:sz w:val="16"/>
                <w:szCs w:val="16"/>
              </w:rPr>
            </w:pPr>
            <w:r>
              <w:rPr>
                <w:rFonts w:cs="Arial"/>
                <w:sz w:val="16"/>
                <w:szCs w:val="16"/>
              </w:rPr>
              <w:t xml:space="preserve">2011-2015 ACS</w:t>
            </w:r>
          </w:p>
        </w:tc>
      </w:tr>
    </w:tbl>
    <w:p>
      <w:pPr>
        <w:keepNext/>
        <w:widowControl w:val="false"/>
        <w:spacing w:after="0" w:line="240" w:lineRule="auto"/>
        <w:jc w:val="center"/>
        <w:rPr>
          <w:b/>
          <w:bCs/>
          <w:vanish/>
          <w:sz w:val="20"/>
          <w:szCs w:val="20"/>
        </w:rPr>
      </w:pPr>
    </w:p>
    <w:p>
      <w:pPr>
        <w:rPr>
          <w:b/>
          <w:bCs/>
          <w:vanish/>
          <w:sz w:val="16"/>
          <w:szCs w:val="16"/>
        </w:rPr>
      </w:pPr>
    </w:p>
    <w:tbl>
      <w:tblPr>
        <w:tblW w:w="5000" w:type="pct"/>
        <w:tblInd w:w="115" w:type="dxa"/>
        <w:tblLook w:firstRow="1" w:lastRow="1" w:firstColumn="1" w:lastColumn="1" w:noHBand="0" w:noVBand="0" w:val="01E0"/>
      </w:tblPr>
      <w:tblGrid>
        <w:gridCol w:w="2715"/>
        <w:gridCol w:w="10461"/>
      </w:tblGrid>
    </w:tbl>
    <w:p>
      <w:pPr>
        <w:rPr>
          <w:rFonts w:cs="Arial"/>
        </w:rPr>
      </w:pPr>
    </w:p>
    <w:tbl>
      <w:tblPr>
        <w:tblW w:w="5000" w:type="pct"/>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15" w:type="dxa"/>
          <w:right w:w="115" w:type="dxa"/>
        </w:tblCellMar>
        <w:tblLook w:firstRow="1" w:lastRow="1" w:firstColumn="1" w:lastColumn="1" w:noHBand="0" w:noVBand="0" w:val="01E0"/>
      </w:tblPr>
      <w:tblGrid>
        <w:gridCol w:w="4558"/>
        <w:gridCol w:w="1711"/>
        <w:gridCol w:w="6878"/>
        <w:gridCol w:w="43"/>
      </w:tblGrid>
      <w:tr>
        <w:trPr>
          <w:gridAfter w:val="1"/>
          <w:wAfter w:w="43" w:type="dxa"/>
          <w:cantSplit/>
          <w:tblHeader/>
        </w:trPr>
        <w:tc>
          <w:tcPr>
            <w:tcW w:w="4558" w:type="dxa"/>
            <w:tcBorders>
              <w:right w:val="nil"/>
            </w:tcBorders>
          </w:tcPr>
          <w:p>
            <w:pPr>
              <w:keepNext/>
              <w:widowControl w:val="false"/>
              <w:rPr>
                <w:b/>
              </w:rPr>
            </w:pPr>
            <w:r>
              <w:rPr>
                <w:b/>
              </w:rPr>
              <w:t>Occupations by Sector</w:t>
            </w:r>
          </w:p>
        </w:tc>
        <w:tc>
          <w:tcPr>
            <w:tcW w:w="8589" w:type="dxa"/>
            <w:gridSpan w:val="2"/>
            <w:tcBorders>
              <w:left w:val="nil"/>
            </w:tcBorders>
          </w:tcPr>
          <w:p>
            <w:pPr>
              <w:keepNext/>
              <w:widowControl w:val="false"/>
              <w:spacing w:after="0" w:line="240" w:lineRule="auto"/>
              <w:jc w:val="center"/>
              <w:rPr>
                <w:b/>
                <w:vanish/>
              </w:rPr>
            </w:pPr>
            <w:r>
              <w:rPr>
                <w:b/>
              </w:rPr>
              <w:t>Number of People</w:t>
            </w:r>
            <w:r>
              <w:rPr>
                <w:b/>
                <w:vanish/>
              </w:rPr>
              <w:t>Median Income</w:t>
            </w:r>
          </w:p>
        </w:tc>
      </w:tr>
      <w:tr>
        <w:trPr>
          <w:cantSplit w:val="true"/>
        </w:trPr>
        <w:tc>
          <w:tcPr>
            <w:vAlign w:val="top"/>
          </w:tcPr>
          <w:p>
            <w:pPr>
              <w:spacing w:beforeAutospacing="true" w:afterAutospacing="true"/>
              <w:jc w:val="left"/>
            </w:pPr>
            <w:r>
              <w:rPr>
                <w:rFonts w:ascii="Calibri" w:hAnsi="Calibri"/>
                <w:color w:val="000000"/>
                <w:sz w:val="22"/>
              </w:rPr>
              <w:t xml:space="preserve">Management, business and financial</w:t>
            </w:r>
          </w:p>
        </w:tc>
        <w:tc>
          <w:tcPr>
            <w:vAlign w:val="bottom"/>
          </w:tcPr>
          <w:p>
            <w:pPr>
              <w:spacing w:beforeAutospacing="true" w:afterAutospacing="true"/>
              <w:jc w:val="right"/>
            </w:pPr>
            <w:r>
              <w:rPr>
                <w:rFonts w:ascii="Calibri" w:hAnsi="Calibri"/>
                <w:color w:val="000000"/>
                <w:sz w:val="22"/>
              </w:rPr>
              <w:t xml:space="preserve">59,502</w:t>
            </w:r>
          </w:p>
        </w:tc>
      </w:tr>
      <w:tr>
        <w:trPr>
          <w:cantSplit w:val="true"/>
        </w:trPr>
        <w:tc>
          <w:tcPr>
            <w:vAlign w:val="top"/>
          </w:tcPr>
          <w:p>
            <w:pPr>
              <w:spacing w:beforeAutospacing="true" w:afterAutospacing="true"/>
              <w:jc w:val="left"/>
            </w:pPr>
            <w:r>
              <w:rPr>
                <w:rFonts w:ascii="Calibri" w:hAnsi="Calibri"/>
                <w:color w:val="000000"/>
                <w:sz w:val="22"/>
              </w:rPr>
              <w:t xml:space="preserve">Farming, fisheries and forestry occupations</w:t>
            </w:r>
          </w:p>
        </w:tc>
        <w:tc>
          <w:tcPr>
            <w:vAlign w:val="bottom"/>
          </w:tcPr>
          <w:p>
            <w:pPr>
              <w:spacing w:beforeAutospacing="true" w:afterAutospacing="true"/>
              <w:jc w:val="right"/>
            </w:pPr>
            <w:r>
              <w:rPr>
                <w:rFonts w:ascii="Calibri" w:hAnsi="Calibri"/>
                <w:color w:val="000000"/>
                <w:sz w:val="22"/>
              </w:rPr>
              <w:t xml:space="preserve">11,455</w:t>
            </w:r>
          </w:p>
        </w:tc>
      </w:tr>
      <w:tr>
        <w:trPr>
          <w:cantSplit w:val="true"/>
        </w:trPr>
        <w:tc>
          <w:tcPr>
            <w:vAlign w:val="top"/>
          </w:tcPr>
          <w:p>
            <w:pPr>
              <w:spacing w:beforeAutospacing="true" w:afterAutospacing="true"/>
              <w:jc w:val="left"/>
            </w:pPr>
            <w:r>
              <w:rPr>
                <w:rFonts w:ascii="Calibri" w:hAnsi="Calibri"/>
                <w:color w:val="000000"/>
                <w:sz w:val="22"/>
              </w:rPr>
              <w:t xml:space="preserve">Service</w:t>
            </w:r>
          </w:p>
        </w:tc>
        <w:tc>
          <w:tcPr>
            <w:vAlign w:val="bottom"/>
          </w:tcPr>
          <w:p>
            <w:pPr>
              <w:spacing w:beforeAutospacing="true" w:afterAutospacing="true"/>
              <w:jc w:val="right"/>
            </w:pPr>
            <w:r>
              <w:rPr>
                <w:rFonts w:ascii="Calibri" w:hAnsi="Calibri"/>
                <w:color w:val="000000"/>
                <w:sz w:val="22"/>
              </w:rPr>
              <w:t xml:space="preserve">17,934</w:t>
            </w:r>
          </w:p>
        </w:tc>
      </w:tr>
      <w:tr>
        <w:trPr>
          <w:cantSplit w:val="true"/>
        </w:trPr>
        <w:tc>
          <w:tcPr>
            <w:vAlign w:val="top"/>
          </w:tcPr>
          <w:p>
            <w:pPr>
              <w:spacing w:beforeAutospacing="true" w:afterAutospacing="true"/>
              <w:jc w:val="left"/>
            </w:pPr>
            <w:r>
              <w:rPr>
                <w:rFonts w:ascii="Calibri" w:hAnsi="Calibri"/>
                <w:color w:val="000000"/>
                <w:sz w:val="22"/>
              </w:rPr>
              <w:t xml:space="preserve">Sales and office</w:t>
            </w:r>
          </w:p>
        </w:tc>
        <w:tc>
          <w:tcPr>
            <w:vAlign w:val="bottom"/>
          </w:tcPr>
          <w:p>
            <w:pPr>
              <w:spacing w:beforeAutospacing="true" w:afterAutospacing="true"/>
              <w:jc w:val="right"/>
            </w:pPr>
            <w:r>
              <w:rPr>
                <w:rFonts w:ascii="Calibri" w:hAnsi="Calibri"/>
                <w:color w:val="000000"/>
                <w:sz w:val="22"/>
              </w:rPr>
              <w:t xml:space="preserve">60,487</w:t>
            </w:r>
          </w:p>
        </w:tc>
      </w:tr>
      <w:tr>
        <w:trPr>
          <w:cantSplit w:val="true"/>
        </w:trPr>
        <w:tc>
          <w:tcPr>
            <w:vAlign w:val="top"/>
          </w:tcPr>
          <w:p>
            <w:pPr>
              <w:spacing w:beforeAutospacing="true" w:afterAutospacing="true"/>
              <w:jc w:val="left"/>
            </w:pPr>
            <w:r>
              <w:rPr>
                <w:rFonts w:ascii="Calibri" w:hAnsi="Calibri"/>
                <w:color w:val="000000"/>
                <w:sz w:val="22"/>
              </w:rPr>
              <w:t xml:space="preserve">Construction, extraction, maintenance and repair</w:t>
            </w:r>
          </w:p>
        </w:tc>
        <w:tc>
          <w:tcPr>
            <w:vAlign w:val="bottom"/>
          </w:tcPr>
          <w:p>
            <w:pPr>
              <w:spacing w:beforeAutospacing="true" w:afterAutospacing="true"/>
              <w:jc w:val="right"/>
            </w:pPr>
            <w:r>
              <w:rPr>
                <w:rFonts w:ascii="Calibri" w:hAnsi="Calibri"/>
                <w:color w:val="000000"/>
                <w:sz w:val="22"/>
              </w:rPr>
              <w:t xml:space="preserve">16,785</w:t>
            </w:r>
          </w:p>
        </w:tc>
      </w:tr>
      <w:tr>
        <w:trPr>
          <w:cantSplit w:val="true"/>
        </w:trPr>
        <w:tc>
          <w:tcPr>
            <w:vAlign w:val="top"/>
          </w:tcPr>
          <w:p>
            <w:pPr>
              <w:spacing w:beforeAutospacing="true" w:afterAutospacing="true"/>
              <w:jc w:val="left"/>
            </w:pPr>
            <w:r>
              <w:rPr>
                <w:rFonts w:ascii="Calibri" w:hAnsi="Calibri"/>
                <w:color w:val="000000"/>
                <w:sz w:val="22"/>
              </w:rPr>
              <w:t xml:space="preserve">Production, transportation and material moving</w:t>
            </w:r>
          </w:p>
        </w:tc>
        <w:tc>
          <w:tcPr>
            <w:vAlign w:val="bottom"/>
          </w:tcPr>
          <w:p>
            <w:pPr>
              <w:spacing w:beforeAutospacing="true" w:afterAutospacing="true"/>
              <w:jc w:val="right"/>
            </w:pPr>
            <w:r>
              <w:rPr>
                <w:rFonts w:ascii="Calibri" w:hAnsi="Calibri"/>
                <w:color w:val="000000"/>
                <w:sz w:val="22"/>
              </w:rPr>
              <w:t xml:space="preserve">11,561</w:t>
            </w:r>
          </w:p>
        </w:tc>
      </w:tr>
    </w:tbl>
    <w:p>
      <w:pPr>
        <w:pStyle w:val="Caption"/>
        <w:jc w:val="center"/>
        <w:rPr>
          <w:rFonts w:asciiTheme="minorHAnsi" w:hAnsiTheme="minorHAnsi"/>
        </w:rPr>
      </w:pPr>
      <w:r>
        <w:rPr>
          <w:rFonts w:asciiTheme="minorHAnsi" w:hAnsiTheme="minorHAnsi"/>
        </w:rPr>
        <w:t xml:space="preserve">Table </w:t>
        <w:fldChar w:fldCharType="begin"/>
        <w:instrText xml:space="preserve"> SEQ Table \* ARABIC </w:instrText>
        <w:fldChar w:fldCharType="separate"/>
        <w:t>13</w:t>
        <w:fldChar w:fldCharType="end"/>
        <w:t xml:space="preserve"> – Occupations by Sector</w:t>
      </w:r>
    </w:p>
    <w:tbl>
      <w:tblPr>
        <w:tblW w:w="5000" w:type="pct"/>
        <w:tblInd w:w="115" w:type="dxa"/>
        <w:tblLook w:firstRow="1" w:lastRow="1" w:firstColumn="1" w:lastColumn="1" w:noHBand="0" w:noVBand="0" w:val="01E0"/>
      </w:tblPr>
      <w:tblGrid>
        <w:gridCol w:w="1476"/>
        <w:gridCol w:w="11700"/>
      </w:tblGrid>
      <w:tr>
        <w:trPr>
          <w:cantSplit/>
        </w:trPr>
        <w:tc>
          <w:tcPr>
            <w:tcW w:w="1073" w:type="dxa"/>
          </w:tcPr>
          <w:p>
            <w:pPr>
              <w:spacing w:after="0" w:line="240" w:lineRule="auto"/>
              <w:rPr>
                <w:rFonts w:cs="Arial"/>
                <w:sz w:val="16"/>
                <w:szCs w:val="16"/>
              </w:rPr>
            </w:pPr>
            <w:r>
              <w:rPr>
                <w:b/>
                <w:bCs/>
                <w:sz w:val="16"/>
                <w:szCs w:val="16"/>
              </w:rPr>
              <w:t>Data Source:</w:t>
            </w:r>
          </w:p>
        </w:tc>
        <w:tc>
          <w:tcPr>
            <w:tcW w:w="8503" w:type="dxa"/>
          </w:tcPr>
          <w:p>
            <w:pPr>
              <w:spacing w:beforeAutospacing="true" w:afterAutospacing="true"/>
              <w:rPr>
                <w:rFonts w:cs="Arial"/>
                <w:sz w:val="16"/>
                <w:szCs w:val="16"/>
              </w:rPr>
            </w:pPr>
            <w:r>
              <w:rPr>
                <w:rFonts w:cs="Arial"/>
                <w:sz w:val="16"/>
                <w:szCs w:val="16"/>
              </w:rPr>
              <w:t xml:space="preserve">2011-2015 ACS</w:t>
            </w:r>
          </w:p>
        </w:tc>
      </w:tr>
    </w:tbl>
    <w:p>
      <w:pPr>
        <w:keepNext/>
        <w:widowControl w:val="false"/>
        <w:spacing w:after="0" w:line="240" w:lineRule="auto"/>
        <w:jc w:val="center"/>
        <w:rPr>
          <w:b/>
          <w:bCs/>
          <w:vanish/>
          <w:sz w:val="20"/>
          <w:szCs w:val="20"/>
        </w:rPr>
      </w:pPr>
    </w:p>
    <w:p>
      <w:pPr>
        <w:rPr>
          <w:b/>
          <w:bCs/>
          <w:vanish/>
          <w:sz w:val="16"/>
          <w:szCs w:val="16"/>
        </w:rPr>
      </w:pPr>
    </w:p>
    <w:tbl>
      <w:tblPr>
        <w:tblW w:w="5000" w:type="pct"/>
        <w:tblInd w:w="115" w:type="dxa"/>
        <w:tblLook w:firstRow="1" w:lastRow="1" w:firstColumn="1" w:lastColumn="1" w:noHBand="0" w:noVBand="0" w:val="01E0"/>
      </w:tblPr>
      <w:tblGrid>
        <w:gridCol w:w="2715"/>
        <w:gridCol w:w="10461"/>
      </w:tblGrid>
    </w:tbl>
    <w:p>
      <w:pPr>
        <w:rPr>
          <w:b/>
          <w:bCs/>
          <w:sz w:val="20"/>
          <w:szCs w:val="20"/>
        </w:rPr>
      </w:pPr>
    </w:p>
    <w:p>
      <w:pPr>
        <w:keepNext/>
        <w:widowControl w:val="false"/>
        <w:rPr>
          <w:b/>
          <w:sz w:val="24"/>
          <w:szCs w:val="24"/>
        </w:rPr>
      </w:pPr>
      <w:r>
        <w:rPr>
          <w:b/>
          <w:sz w:val="24"/>
          <w:szCs w:val="24"/>
        </w:rPr>
        <w:t>Travel Time</w:t>
      </w:r>
    </w:p>
    <w:tbl>
      <w:tblPr>
        <w:tblW w:w="5000" w:type="pct"/>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firstRow="1" w:lastRow="1" w:firstColumn="1" w:lastColumn="1" w:noHBand="0" w:noVBand="0" w:val="01E0"/>
      </w:tblPr>
      <w:tblGrid>
        <w:gridCol w:w="4292"/>
        <w:gridCol w:w="4442"/>
        <w:gridCol w:w="4442"/>
      </w:tblGrid>
      <w:tr>
        <w:trPr>
          <w:cantSplit/>
          <w:tblHeader/>
        </w:trPr>
        <w:tc>
          <w:tcPr>
            <w:tcW w:w="3084" w:type="dxa"/>
          </w:tcPr>
          <w:p>
            <w:pPr>
              <w:keepNext/>
              <w:widowControl w:val="false"/>
              <w:spacing w:after="0" w:line="240" w:lineRule="auto"/>
              <w:rPr>
                <w:b/>
              </w:rPr>
            </w:pPr>
            <w:r>
              <w:rPr>
                <w:b/>
              </w:rPr>
              <w:t>Travel Time</w:t>
            </w:r>
          </w:p>
        </w:tc>
        <w:tc>
          <w:tcPr>
            <w:tcW w:w="3192" w:type="dxa"/>
          </w:tcPr>
          <w:p>
            <w:pPr>
              <w:keepNext/>
              <w:widowControl w:val="false"/>
              <w:spacing w:after="0" w:line="240" w:lineRule="auto"/>
              <w:jc w:val="center"/>
              <w:rPr>
                <w:b/>
              </w:rPr>
            </w:pPr>
            <w:r>
              <w:rPr>
                <w:b/>
              </w:rPr>
              <w:t>Number</w:t>
            </w:r>
          </w:p>
        </w:tc>
        <w:tc>
          <w:tcPr>
            <w:tcW w:w="3192" w:type="dxa"/>
          </w:tcPr>
          <w:p>
            <w:pPr>
              <w:keepNext/>
              <w:widowControl w:val="false"/>
              <w:spacing w:after="0" w:line="240" w:lineRule="auto"/>
              <w:jc w:val="center"/>
              <w:rPr>
                <w:b/>
              </w:rPr>
            </w:pPr>
            <w:r>
              <w:rPr>
                <w:b/>
              </w:rPr>
              <w:t>Percentage</w:t>
            </w:r>
          </w:p>
        </w:tc>
      </w:tr>
      <w:tr>
        <w:trPr>
          <w:cantSplit w:val="true"/>
        </w:trPr>
        <w:tc>
          <w:tcPr>
            <w:vAlign w:val="top"/>
          </w:tcPr>
          <w:p>
            <w:pPr>
              <w:spacing w:beforeAutospacing="true" w:afterAutospacing="true"/>
              <w:jc w:val="left"/>
            </w:pPr>
            <w:r>
              <w:rPr>
                <w:rFonts w:ascii="Calibri" w:hAnsi="Calibri"/>
                <w:color w:val="000000"/>
                <w:sz w:val="22"/>
              </w:rPr>
              <w:t xml:space="preserve">&lt; 30 Minutes</w:t>
            </w:r>
          </w:p>
        </w:tc>
        <w:tc>
          <w:tcPr>
            <w:vAlign w:val="bottom"/>
          </w:tcPr>
          <w:p>
            <w:pPr>
              <w:spacing w:beforeAutospacing="true" w:afterAutospacing="true"/>
              <w:jc w:val="right"/>
            </w:pPr>
            <w:r>
              <w:rPr>
                <w:rFonts w:ascii="Calibri" w:hAnsi="Calibri"/>
                <w:color w:val="000000"/>
                <w:sz w:val="22"/>
              </w:rPr>
              <w:t xml:space="preserve">140,078</w:t>
            </w:r>
          </w:p>
        </w:tc>
        <w:tc>
          <w:tcPr>
            <w:vAlign w:val="bottom"/>
          </w:tcPr>
          <w:p>
            <w:pPr>
              <w:spacing w:beforeAutospacing="true" w:afterAutospacing="true"/>
              <w:jc w:val="right"/>
            </w:pPr>
            <w:r>
              <w:rPr>
                <w:rFonts w:ascii="Calibri" w:hAnsi="Calibri"/>
                <w:color w:val="000000"/>
                <w:sz w:val="22"/>
              </w:rPr>
              <w:t xml:space="preserve">70%</w:t>
            </w:r>
          </w:p>
        </w:tc>
      </w:tr>
      <w:tr>
        <w:trPr>
          <w:cantSplit w:val="true"/>
        </w:trPr>
        <w:tc>
          <w:tcPr>
            <w:vAlign w:val="top"/>
          </w:tcPr>
          <w:p>
            <w:pPr>
              <w:spacing w:beforeAutospacing="true" w:afterAutospacing="true"/>
              <w:jc w:val="left"/>
            </w:pPr>
            <w:r>
              <w:rPr>
                <w:rFonts w:ascii="Calibri" w:hAnsi="Calibri"/>
                <w:color w:val="000000"/>
                <w:sz w:val="22"/>
              </w:rPr>
              <w:t xml:space="preserve">30-59 Minutes</w:t>
            </w:r>
          </w:p>
        </w:tc>
        <w:tc>
          <w:tcPr>
            <w:vAlign w:val="bottom"/>
          </w:tcPr>
          <w:p>
            <w:pPr>
              <w:spacing w:beforeAutospacing="true" w:afterAutospacing="true"/>
              <w:jc w:val="right"/>
            </w:pPr>
            <w:r>
              <w:rPr>
                <w:rFonts w:ascii="Calibri" w:hAnsi="Calibri"/>
                <w:color w:val="000000"/>
                <w:sz w:val="22"/>
              </w:rPr>
              <w:t xml:space="preserve">51,918</w:t>
            </w:r>
          </w:p>
        </w:tc>
        <w:tc>
          <w:tcPr>
            <w:vAlign w:val="bottom"/>
          </w:tcPr>
          <w:p>
            <w:pPr>
              <w:spacing w:beforeAutospacing="true" w:afterAutospacing="true"/>
              <w:jc w:val="right"/>
            </w:pPr>
            <w:r>
              <w:rPr>
                <w:rFonts w:ascii="Calibri" w:hAnsi="Calibri"/>
                <w:color w:val="000000"/>
                <w:sz w:val="22"/>
              </w:rPr>
              <w:t xml:space="preserve">26%</w:t>
            </w:r>
          </w:p>
        </w:tc>
      </w:tr>
      <w:tr>
        <w:trPr>
          <w:cantSplit w:val="true"/>
        </w:trPr>
        <w:tc>
          <w:tcPr>
            <w:vAlign w:val="top"/>
          </w:tcPr>
          <w:p>
            <w:pPr>
              <w:spacing w:beforeAutospacing="true" w:afterAutospacing="true"/>
              <w:jc w:val="left"/>
            </w:pPr>
            <w:r>
              <w:rPr>
                <w:rFonts w:ascii="Calibri" w:hAnsi="Calibri"/>
                <w:color w:val="000000"/>
                <w:sz w:val="22"/>
              </w:rPr>
              <w:t xml:space="preserve">60 or More Minutes</w:t>
            </w:r>
          </w:p>
        </w:tc>
        <w:tc>
          <w:tcPr>
            <w:vAlign w:val="bottom"/>
          </w:tcPr>
          <w:p>
            <w:pPr>
              <w:spacing w:beforeAutospacing="true" w:afterAutospacing="true"/>
              <w:jc w:val="right"/>
            </w:pPr>
            <w:r>
              <w:rPr>
                <w:rFonts w:ascii="Calibri" w:hAnsi="Calibri"/>
                <w:color w:val="000000"/>
                <w:sz w:val="22"/>
              </w:rPr>
              <w:t xml:space="preserve">7,015</w:t>
            </w:r>
          </w:p>
        </w:tc>
        <w:tc>
          <w:tcPr>
            <w:vAlign w:val="bottom"/>
          </w:tcPr>
          <w:p>
            <w:pPr>
              <w:spacing w:beforeAutospacing="true" w:afterAutospacing="true"/>
              <w:jc w:val="right"/>
            </w:pPr>
            <w:r>
              <w:rPr>
                <w:rFonts w:ascii="Calibri" w:hAnsi="Calibri"/>
                <w:color w:val="000000"/>
                <w:sz w:val="22"/>
              </w:rPr>
              <w:t xml:space="preserve">4%</w:t>
            </w:r>
          </w:p>
        </w:tc>
      </w:tr>
      <w:tr>
        <w:trPr>
          <w:cantSplit w:val="true"/>
        </w:trPr>
        <w:tc>
          <w:tcPr>
            <w:vAlign w:val="top"/>
          </w:tcPr>
          <w:p>
            <w:pPr>
              <w:spacing w:beforeAutospacing="true" w:afterAutospacing="true"/>
              <w:jc w:val="left"/>
            </w:pPr>
            <w:r>
              <w:rPr>
                <w:rFonts w:ascii="Verdana" w:hAnsi="Verdana"/>
                <w:b/>
                <w:i/>
                <w:color w:val="000000"/>
                <w:sz w:val="16"/>
              </w:rPr>
              <w:t xml:space="preserve">Total</w:t>
            </w:r>
          </w:p>
        </w:tc>
        <w:tc>
          <w:tcPr>
            <w:vAlign w:val="top"/>
          </w:tcPr>
          <w:p>
            <w:pPr>
              <w:spacing w:beforeAutospacing="true" w:afterAutospacing="true"/>
              <w:jc w:val="right"/>
            </w:pPr>
            <w:r>
              <w:rPr>
                <w:rFonts w:ascii="Verdana" w:hAnsi="Verdana"/>
                <w:b/>
                <w:i/>
                <w:color w:val="000000"/>
                <w:sz w:val="16"/>
              </w:rPr>
              <w:t xml:space="preserve">199,011</w:t>
            </w:r>
          </w:p>
        </w:tc>
        <w:tc>
          <w:tcPr>
            <w:vAlign w:val="top"/>
          </w:tcPr>
          <w:p>
            <w:pPr>
              <w:spacing w:beforeAutospacing="true" w:afterAutospacing="true"/>
              <w:jc w:val="right"/>
            </w:pPr>
            <w:r>
              <w:rPr>
                <w:rFonts w:ascii="Verdana" w:hAnsi="Verdana"/>
                <w:b/>
                <w:i/>
                <w:color w:val="000000"/>
                <w:sz w:val="16"/>
              </w:rPr>
              <w:t xml:space="preserve">100%</w:t>
            </w:r>
          </w:p>
        </w:tc>
      </w:tr>
    </w:tbl>
    <w:p>
      <w:pPr>
        <w:pStyle w:val="Caption"/>
        <w:jc w:val="center"/>
        <w:rPr>
          <w:rFonts w:asciiTheme="minorHAnsi" w:hAnsiTheme="minorHAnsi"/>
        </w:rPr>
      </w:pPr>
      <w:r>
        <w:rPr>
          <w:rFonts w:asciiTheme="minorHAnsi" w:hAnsiTheme="minorHAnsi"/>
        </w:rPr>
        <w:t xml:space="preserve">Table </w:t>
        <w:fldChar w:fldCharType="begin"/>
        <w:instrText xml:space="preserve"> SEQ Table \* ARABIC </w:instrText>
        <w:fldChar w:fldCharType="separate"/>
        <w:t>14</w:t>
        <w:fldChar w:fldCharType="end"/>
        <w:t xml:space="preserve"> - Travel Time</w:t>
      </w:r>
    </w:p>
    <w:tbl>
      <w:tblPr>
        <w:tblW w:w="5000" w:type="pct"/>
        <w:tblInd w:w="115" w:type="dxa"/>
        <w:tblLook w:firstRow="1" w:lastRow="1" w:firstColumn="1" w:lastColumn="1" w:noHBand="0" w:noVBand="0" w:val="01E0"/>
      </w:tblPr>
      <w:tblGrid>
        <w:gridCol w:w="1476"/>
        <w:gridCol w:w="11700"/>
      </w:tblGrid>
      <w:tr>
        <w:trPr>
          <w:cantSplit/>
        </w:trPr>
        <w:tc>
          <w:tcPr>
            <w:tcW w:w="1073" w:type="dxa"/>
          </w:tcPr>
          <w:p>
            <w:pPr>
              <w:spacing w:after="0" w:line="240" w:lineRule="auto"/>
              <w:rPr>
                <w:rFonts w:cs="Arial"/>
                <w:sz w:val="16"/>
                <w:szCs w:val="16"/>
              </w:rPr>
            </w:pPr>
            <w:r>
              <w:rPr>
                <w:b/>
                <w:bCs/>
                <w:sz w:val="16"/>
                <w:szCs w:val="16"/>
              </w:rPr>
              <w:t>Data Source:</w:t>
            </w:r>
          </w:p>
        </w:tc>
        <w:tc>
          <w:tcPr>
            <w:tcW w:w="8503" w:type="dxa"/>
          </w:tcPr>
          <w:p>
            <w:pPr>
              <w:spacing w:beforeAutospacing="true" w:afterAutospacing="true"/>
              <w:rPr>
                <w:rFonts w:cs="Arial"/>
                <w:sz w:val="16"/>
                <w:szCs w:val="16"/>
              </w:rPr>
            </w:pPr>
            <w:r>
              <w:rPr>
                <w:rFonts w:cs="Arial"/>
                <w:sz w:val="16"/>
                <w:szCs w:val="16"/>
              </w:rPr>
              <w:t xml:space="preserve">2011-2015 ACS</w:t>
            </w:r>
          </w:p>
        </w:tc>
      </w:tr>
    </w:tbl>
    <w:p>
      <w:pPr>
        <w:keepNext/>
        <w:widowControl w:val="false"/>
        <w:spacing w:after="0" w:line="240" w:lineRule="auto"/>
        <w:jc w:val="center"/>
        <w:rPr>
          <w:b/>
          <w:bCs/>
          <w:vanish/>
          <w:sz w:val="20"/>
          <w:szCs w:val="20"/>
        </w:rPr>
      </w:pPr>
    </w:p>
    <w:p>
      <w:pPr>
        <w:rPr>
          <w:b/>
          <w:bCs/>
          <w:vanish/>
          <w:sz w:val="16"/>
          <w:szCs w:val="16"/>
        </w:rPr>
      </w:pPr>
    </w:p>
    <w:tbl>
      <w:tblPr>
        <w:tblW w:w="5000" w:type="pct"/>
        <w:tblInd w:w="115" w:type="dxa"/>
        <w:tblLook w:firstRow="1" w:lastRow="1" w:firstColumn="1" w:lastColumn="1" w:noHBand="0" w:noVBand="0" w:val="01E0"/>
      </w:tblPr>
      <w:tblGrid>
        <w:gridCol w:w="2715"/>
        <w:gridCol w:w="10461"/>
      </w:tblGrid>
    </w:tbl>
    <w:p>
      <w:pPr>
        <w:rPr>
          <w:bCs/>
        </w:rPr>
      </w:pPr>
    </w:p>
    <w:p>
      <w:pPr>
        <w:keepNext/>
        <w:widowControl w:val="false"/>
        <w:rPr>
          <w:b/>
          <w:sz w:val="24"/>
          <w:szCs w:val="24"/>
        </w:rPr>
      </w:pPr>
      <w:r>
        <w:rPr>
          <w:b/>
          <w:sz w:val="24"/>
          <w:szCs w:val="24"/>
        </w:rPr>
        <w:t>Education:</w:t>
      </w:r>
    </w:p>
    <w:p>
      <w:pPr>
        <w:keepNext/>
        <w:widowControl w:val="false"/>
        <w:rPr>
          <w:sz w:val="24"/>
          <w:szCs w:val="24"/>
        </w:rPr>
      </w:pPr>
      <w:r>
        <w:rPr>
          <w:sz w:val="24"/>
          <w:szCs w:val="24"/>
        </w:rPr>
        <w:t>Educational Attainment by Employment Status (Population 16 and Older)</w:t>
      </w:r>
    </w:p>
    <w:tbl>
      <w:tblPr>
        <w:tblW w:w="5000" w:type="pct"/>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firstRow="1" w:lastRow="1" w:firstColumn="1" w:lastColumn="1" w:noHBand="0" w:noVBand="0" w:val="01E0"/>
      </w:tblPr>
      <w:tblGrid>
        <w:gridCol w:w="4502"/>
        <w:gridCol w:w="2883"/>
        <w:gridCol w:w="2883"/>
        <w:gridCol w:w="2908"/>
      </w:tblGrid>
      <w:tr>
        <w:trPr>
          <w:cantSplit/>
          <w:tblHeader/>
        </w:trPr>
        <w:tc>
          <w:tcPr>
            <w:tcW w:w="4502" w:type="dxa"/>
            <w:vMerge w:val="restart"/>
          </w:tcPr>
          <w:p>
            <w:pPr>
              <w:keepNext/>
              <w:widowControl w:val="false"/>
              <w:spacing w:after="0" w:line="240" w:lineRule="auto"/>
              <w:jc w:val="center"/>
            </w:pPr>
            <w:r>
              <w:rPr>
                <w:b/>
              </w:rPr>
              <w:t>Educational Attainment</w:t>
            </w:r>
          </w:p>
        </w:tc>
        <w:tc>
          <w:tcPr>
            <w:tcW w:w="5766" w:type="dxa"/>
            <w:gridSpan w:val="2"/>
          </w:tcPr>
          <w:p>
            <w:pPr>
              <w:keepNext/>
              <w:widowControl w:val="false"/>
              <w:spacing w:after="0" w:line="240" w:lineRule="auto"/>
              <w:jc w:val="center"/>
            </w:pPr>
            <w:r>
              <w:rPr>
                <w:b/>
              </w:rPr>
              <w:t>In Labor Force</w:t>
            </w:r>
          </w:p>
        </w:tc>
        <w:tc>
          <w:tcPr>
            <w:tcW w:w="2908" w:type="dxa"/>
          </w:tcPr>
          <w:p>
            <w:pPr>
              <w:keepNext/>
              <w:widowControl w:val="false"/>
              <w:spacing w:after="0" w:line="240" w:lineRule="auto"/>
              <w:jc w:val="center"/>
            </w:pPr>
          </w:p>
        </w:tc>
      </w:tr>
      <w:tr>
        <w:trPr>
          <w:cantSplit/>
          <w:tblHeader/>
        </w:trPr>
        <w:tc>
          <w:tcPr>
            <w:tcW w:w="4502" w:type="dxa"/>
            <w:vMerge/>
          </w:tcPr>
          <w:p>
            <w:pPr>
              <w:keepNext/>
              <w:widowControl w:val="false"/>
              <w:spacing w:after="0" w:line="240" w:lineRule="auto"/>
              <w:jc w:val="center"/>
            </w:pPr>
          </w:p>
        </w:tc>
        <w:tc>
          <w:tcPr>
            <w:tcW w:w="2883" w:type="dxa"/>
          </w:tcPr>
          <w:p>
            <w:pPr>
              <w:keepNext/>
              <w:widowControl w:val="false"/>
              <w:spacing w:after="0" w:line="240" w:lineRule="auto"/>
              <w:jc w:val="center"/>
            </w:pPr>
            <w:r>
              <w:rPr>
                <w:b/>
              </w:rPr>
              <w:t>Civilian Employed</w:t>
            </w:r>
          </w:p>
        </w:tc>
        <w:tc>
          <w:tcPr>
            <w:tcW w:w="2883" w:type="dxa"/>
          </w:tcPr>
          <w:p>
            <w:pPr>
              <w:keepNext/>
              <w:widowControl w:val="false"/>
              <w:spacing w:after="0" w:line="240" w:lineRule="auto"/>
              <w:jc w:val="center"/>
            </w:pPr>
            <w:r>
              <w:rPr>
                <w:b/>
              </w:rPr>
              <w:t>Unemployed</w:t>
            </w:r>
          </w:p>
        </w:tc>
        <w:tc>
          <w:tcPr>
            <w:tcW w:w="2908" w:type="dxa"/>
          </w:tcPr>
          <w:p>
            <w:pPr>
              <w:keepNext/>
              <w:widowControl w:val="false"/>
              <w:spacing w:after="0" w:line="240" w:lineRule="auto"/>
              <w:jc w:val="center"/>
            </w:pPr>
            <w:r>
              <w:rPr>
                <w:b/>
              </w:rPr>
              <w:t>Not in Labor Force</w:t>
            </w:r>
          </w:p>
        </w:tc>
      </w:tr>
      <w:tr>
        <w:trPr>
          <w:cantSplit w:val="true"/>
        </w:trPr>
        <w:tc>
          <w:tcPr>
            <w:vAlign w:val="top"/>
          </w:tcPr>
          <w:p>
            <w:pPr>
              <w:spacing w:beforeAutospacing="true" w:afterAutospacing="true"/>
              <w:jc w:val="left"/>
            </w:pPr>
            <w:r>
              <w:rPr>
                <w:rFonts w:ascii="Calibri" w:hAnsi="Calibri"/>
                <w:color w:val="000000"/>
                <w:sz w:val="22"/>
              </w:rPr>
              <w:t xml:space="preserve">Less than high school graduate</w:t>
            </w:r>
          </w:p>
        </w:tc>
        <w:tc>
          <w:tcPr>
            <w:vAlign w:val="bottom"/>
          </w:tcPr>
          <w:p>
            <w:pPr>
              <w:spacing w:beforeAutospacing="true" w:afterAutospacing="true"/>
              <w:jc w:val="right"/>
            </w:pPr>
            <w:r>
              <w:rPr>
                <w:rFonts w:ascii="Calibri" w:hAnsi="Calibri"/>
                <w:color w:val="000000"/>
                <w:sz w:val="22"/>
              </w:rPr>
              <w:t xml:space="preserve">12,371</w:t>
            </w:r>
          </w:p>
        </w:tc>
        <w:tc>
          <w:tcPr>
            <w:vAlign w:val="bottom"/>
          </w:tcPr>
          <w:p>
            <w:pPr>
              <w:spacing w:beforeAutospacing="true" w:afterAutospacing="true"/>
              <w:jc w:val="right"/>
            </w:pPr>
            <w:r>
              <w:rPr>
                <w:rFonts w:ascii="Calibri" w:hAnsi="Calibri"/>
                <w:color w:val="000000"/>
                <w:sz w:val="22"/>
              </w:rPr>
              <w:t xml:space="preserve">827</w:t>
            </w:r>
          </w:p>
        </w:tc>
        <w:tc>
          <w:tcPr>
            <w:vAlign w:val="bottom"/>
          </w:tcPr>
          <w:p>
            <w:pPr>
              <w:spacing w:beforeAutospacing="true" w:afterAutospacing="true"/>
              <w:jc w:val="right"/>
            </w:pPr>
            <w:r>
              <w:rPr>
                <w:rFonts w:ascii="Calibri" w:hAnsi="Calibri"/>
                <w:color w:val="000000"/>
                <w:sz w:val="22"/>
              </w:rPr>
              <w:t xml:space="preserve">5,449</w:t>
            </w:r>
          </w:p>
        </w:tc>
      </w:tr>
      <w:tr>
        <w:trPr>
          <w:cantSplit w:val="true"/>
        </w:trPr>
        <w:tc>
          <w:tcPr>
            <w:vAlign w:val="top"/>
          </w:tcPr>
          <w:p>
            <w:pPr>
              <w:spacing w:beforeAutospacing="true" w:afterAutospacing="true"/>
              <w:jc w:val="left"/>
            </w:pPr>
            <w:r>
              <w:rPr>
                <w:rFonts w:ascii="Calibri" w:hAnsi="Calibri"/>
                <w:color w:val="000000"/>
                <w:sz w:val="22"/>
              </w:rPr>
              <w:t xml:space="preserve">High school graduate (includes equivalency)</w:t>
            </w:r>
          </w:p>
        </w:tc>
        <w:tc>
          <w:tcPr>
            <w:vAlign w:val="bottom"/>
          </w:tcPr>
          <w:p>
            <w:pPr>
              <w:spacing w:beforeAutospacing="true" w:afterAutospacing="true"/>
              <w:jc w:val="right"/>
            </w:pPr>
            <w:r>
              <w:rPr>
                <w:rFonts w:ascii="Calibri" w:hAnsi="Calibri"/>
                <w:color w:val="000000"/>
                <w:sz w:val="22"/>
              </w:rPr>
              <w:t xml:space="preserve">34,585</w:t>
            </w:r>
          </w:p>
        </w:tc>
        <w:tc>
          <w:tcPr>
            <w:vAlign w:val="bottom"/>
          </w:tcPr>
          <w:p>
            <w:pPr>
              <w:spacing w:beforeAutospacing="true" w:afterAutospacing="true"/>
              <w:jc w:val="right"/>
            </w:pPr>
            <w:r>
              <w:rPr>
                <w:rFonts w:ascii="Calibri" w:hAnsi="Calibri"/>
                <w:color w:val="000000"/>
                <w:sz w:val="22"/>
              </w:rPr>
              <w:t xml:space="preserve">2,250</w:t>
            </w:r>
          </w:p>
        </w:tc>
        <w:tc>
          <w:tcPr>
            <w:vAlign w:val="bottom"/>
          </w:tcPr>
          <w:p>
            <w:pPr>
              <w:spacing w:beforeAutospacing="true" w:afterAutospacing="true"/>
              <w:jc w:val="right"/>
            </w:pPr>
            <w:r>
              <w:rPr>
                <w:rFonts w:ascii="Calibri" w:hAnsi="Calibri"/>
                <w:color w:val="000000"/>
                <w:sz w:val="22"/>
              </w:rPr>
              <w:t xml:space="preserve">10,854</w:t>
            </w:r>
          </w:p>
        </w:tc>
      </w:tr>
      <w:tr>
        <w:trPr>
          <w:cantSplit w:val="true"/>
        </w:trPr>
        <w:tc>
          <w:tcPr>
            <w:vAlign w:val="top"/>
          </w:tcPr>
          <w:p>
            <w:pPr>
              <w:spacing w:beforeAutospacing="true" w:afterAutospacing="true"/>
              <w:jc w:val="left"/>
            </w:pPr>
            <w:r>
              <w:rPr>
                <w:rFonts w:ascii="Calibri" w:hAnsi="Calibri"/>
                <w:color w:val="000000"/>
                <w:sz w:val="22"/>
              </w:rPr>
              <w:t xml:space="preserve">Some college or Associate's degree</w:t>
            </w:r>
          </w:p>
        </w:tc>
        <w:tc>
          <w:tcPr>
            <w:vAlign w:val="bottom"/>
          </w:tcPr>
          <w:p>
            <w:pPr>
              <w:spacing w:beforeAutospacing="true" w:afterAutospacing="true"/>
              <w:jc w:val="right"/>
            </w:pPr>
            <w:r>
              <w:rPr>
                <w:rFonts w:ascii="Calibri" w:hAnsi="Calibri"/>
                <w:color w:val="000000"/>
                <w:sz w:val="22"/>
              </w:rPr>
              <w:t xml:space="preserve">63,239</w:t>
            </w:r>
          </w:p>
        </w:tc>
        <w:tc>
          <w:tcPr>
            <w:vAlign w:val="bottom"/>
          </w:tcPr>
          <w:p>
            <w:pPr>
              <w:spacing w:beforeAutospacing="true" w:afterAutospacing="true"/>
              <w:jc w:val="right"/>
            </w:pPr>
            <w:r>
              <w:rPr>
                <w:rFonts w:ascii="Calibri" w:hAnsi="Calibri"/>
                <w:color w:val="000000"/>
                <w:sz w:val="22"/>
              </w:rPr>
              <w:t xml:space="preserve">2,655</w:t>
            </w:r>
          </w:p>
        </w:tc>
        <w:tc>
          <w:tcPr>
            <w:vAlign w:val="bottom"/>
          </w:tcPr>
          <w:p>
            <w:pPr>
              <w:spacing w:beforeAutospacing="true" w:afterAutospacing="true"/>
              <w:jc w:val="right"/>
            </w:pPr>
            <w:r>
              <w:rPr>
                <w:rFonts w:ascii="Calibri" w:hAnsi="Calibri"/>
                <w:color w:val="000000"/>
                <w:sz w:val="22"/>
              </w:rPr>
              <w:t xml:space="preserve">16,815</w:t>
            </w:r>
          </w:p>
        </w:tc>
      </w:tr>
      <w:tr>
        <w:trPr>
          <w:cantSplit w:val="true"/>
        </w:trPr>
        <w:tc>
          <w:tcPr>
            <w:vAlign w:val="top"/>
          </w:tcPr>
          <w:p>
            <w:pPr>
              <w:spacing w:beforeAutospacing="true" w:afterAutospacing="true"/>
              <w:jc w:val="left"/>
            </w:pPr>
            <w:r>
              <w:rPr>
                <w:rFonts w:ascii="Calibri" w:hAnsi="Calibri"/>
                <w:color w:val="000000"/>
                <w:sz w:val="22"/>
              </w:rPr>
              <w:t xml:space="preserve">Bachelor's degree or higher</w:t>
            </w:r>
          </w:p>
        </w:tc>
        <w:tc>
          <w:tcPr>
            <w:vAlign w:val="bottom"/>
          </w:tcPr>
          <w:p>
            <w:pPr>
              <w:spacing w:beforeAutospacing="true" w:afterAutospacing="true"/>
              <w:jc w:val="right"/>
            </w:pPr>
            <w:r>
              <w:rPr>
                <w:rFonts w:ascii="Calibri" w:hAnsi="Calibri"/>
                <w:color w:val="000000"/>
                <w:sz w:val="22"/>
              </w:rPr>
              <w:t xml:space="preserve">64,225</w:t>
            </w:r>
          </w:p>
        </w:tc>
        <w:tc>
          <w:tcPr>
            <w:vAlign w:val="bottom"/>
          </w:tcPr>
          <w:p>
            <w:pPr>
              <w:spacing w:beforeAutospacing="true" w:afterAutospacing="true"/>
              <w:jc w:val="right"/>
            </w:pPr>
            <w:r>
              <w:rPr>
                <w:rFonts w:ascii="Calibri" w:hAnsi="Calibri"/>
                <w:color w:val="000000"/>
                <w:sz w:val="22"/>
              </w:rPr>
              <w:t xml:space="preserve">1,337</w:t>
            </w:r>
          </w:p>
        </w:tc>
        <w:tc>
          <w:tcPr>
            <w:vAlign w:val="bottom"/>
          </w:tcPr>
          <w:p>
            <w:pPr>
              <w:spacing w:beforeAutospacing="true" w:afterAutospacing="true"/>
              <w:jc w:val="right"/>
            </w:pPr>
            <w:r>
              <w:rPr>
                <w:rFonts w:ascii="Calibri" w:hAnsi="Calibri"/>
                <w:color w:val="000000"/>
                <w:sz w:val="22"/>
              </w:rPr>
              <w:t xml:space="preserve">10,698</w:t>
            </w:r>
          </w:p>
        </w:tc>
      </w:tr>
    </w:tbl>
    <w:p>
      <w:pPr>
        <w:pStyle w:val="Caption"/>
        <w:jc w:val="center"/>
        <w:rPr>
          <w:rFonts w:asciiTheme="minorHAnsi" w:hAnsiTheme="minorHAnsi"/>
          <w:b w:val="false"/>
          <w:bCs w:val="false"/>
        </w:rPr>
      </w:pPr>
      <w:r>
        <w:rPr>
          <w:rFonts w:asciiTheme="minorHAnsi" w:hAnsiTheme="minorHAnsi"/>
        </w:rPr>
        <w:t xml:space="preserve">Table </w:t>
        <w:fldChar w:fldCharType="begin"/>
        <w:instrText xml:space="preserve"> SEQ Table \* ARABIC </w:instrText>
        <w:fldChar w:fldCharType="separate"/>
        <w:t>15</w:t>
        <w:fldChar w:fldCharType="end"/>
        <w:t xml:space="preserve"> - Educational Attainment by Employment Status</w:t>
      </w:r>
    </w:p>
    <w:tbl>
      <w:tblPr>
        <w:tblW w:w="5000" w:type="pct"/>
        <w:tblInd w:w="115" w:type="dxa"/>
        <w:tblLook w:firstRow="1" w:lastRow="1" w:firstColumn="1" w:lastColumn="1" w:noHBand="0" w:noVBand="0" w:val="01E0"/>
      </w:tblPr>
      <w:tblGrid>
        <w:gridCol w:w="1476"/>
        <w:gridCol w:w="11700"/>
      </w:tblGrid>
      <w:tr>
        <w:trPr>
          <w:cantSplit/>
        </w:trPr>
        <w:tc>
          <w:tcPr>
            <w:tcW w:w="1476" w:type="dxa"/>
          </w:tcPr>
          <w:p>
            <w:pPr>
              <w:spacing w:after="0" w:line="240" w:lineRule="auto"/>
              <w:rPr>
                <w:rFonts w:cs="Arial"/>
                <w:sz w:val="16"/>
                <w:szCs w:val="16"/>
              </w:rPr>
            </w:pPr>
            <w:r>
              <w:rPr>
                <w:b/>
                <w:bCs/>
                <w:sz w:val="16"/>
                <w:szCs w:val="16"/>
              </w:rPr>
              <w:t>Data Source:</w:t>
            </w:r>
          </w:p>
        </w:tc>
        <w:tc>
          <w:tcPr>
            <w:tcW w:w="11700" w:type="dxa"/>
          </w:tcPr>
          <w:p>
            <w:pPr>
              <w:spacing w:beforeAutospacing="true" w:afterAutospacing="true"/>
              <w:rPr>
                <w:rFonts w:cs="Arial"/>
                <w:sz w:val="16"/>
                <w:szCs w:val="16"/>
              </w:rPr>
            </w:pPr>
            <w:r>
              <w:rPr>
                <w:rFonts w:cs="Arial"/>
                <w:sz w:val="16"/>
                <w:szCs w:val="16"/>
              </w:rPr>
              <w:t xml:space="preserve">2011-2015 ACS</w:t>
            </w:r>
          </w:p>
        </w:tc>
      </w:tr>
    </w:tbl>
    <w:p>
      <w:pPr>
        <w:keepNext/>
        <w:widowControl w:val="false"/>
        <w:spacing w:after="0" w:line="240" w:lineRule="auto"/>
        <w:jc w:val="center"/>
        <w:rPr>
          <w:b/>
          <w:bCs/>
          <w:vanish/>
          <w:sz w:val="20"/>
          <w:szCs w:val="20"/>
        </w:rPr>
      </w:pPr>
    </w:p>
    <w:p>
      <w:pPr>
        <w:spacing w:after="0" w:line="240" w:lineRule="auto"/>
        <w:rPr>
          <w:b/>
          <w:bCs/>
          <w:vanish/>
          <w:sz w:val="16"/>
          <w:szCs w:val="16"/>
        </w:rPr>
      </w:pPr>
    </w:p>
    <w:tbl>
      <w:tblPr>
        <w:tblW w:w="5000" w:type="pct"/>
        <w:tblInd w:w="115" w:type="dxa"/>
        <w:tblLook w:firstRow="1" w:lastRow="1" w:firstColumn="1" w:lastColumn="1" w:noHBand="0" w:noVBand="0" w:val="01E0"/>
      </w:tblPr>
      <w:tblGrid>
        <w:gridCol w:w="2715"/>
        <w:gridCol w:w="10461"/>
      </w:tblGrid>
    </w:tbl>
    <w:p>
      <w:pPr>
        <w:rPr>
          <w:bCs/>
        </w:rPr>
      </w:pPr>
    </w:p>
    <w:p>
      <w:pPr>
        <w:keepNext/>
        <w:widowControl w:val="false"/>
        <w:rPr>
          <w:sz w:val="24"/>
          <w:szCs w:val="24"/>
        </w:rPr>
      </w:pPr>
      <w:r>
        <w:rPr>
          <w:sz w:val="24"/>
          <w:szCs w:val="24"/>
        </w:rPr>
        <w:t>Educational Attainment by Age</w:t>
      </w:r>
    </w:p>
    <w:tbl>
      <w:tblPr>
        <w:tblW w:w="5000" w:type="pct"/>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firstRow="1" w:lastRow="1" w:firstColumn="1" w:lastColumn="1" w:noHBand="0" w:noVBand="0" w:val="01E0"/>
      </w:tblPr>
      <w:tblGrid>
        <w:gridCol w:w="3500"/>
        <w:gridCol w:w="1934"/>
        <w:gridCol w:w="1936"/>
        <w:gridCol w:w="1934"/>
        <w:gridCol w:w="1936"/>
        <w:gridCol w:w="1936"/>
      </w:tblGrid>
      <w:tr>
        <w:trPr>
          <w:cantSplit/>
          <w:tblHeader/>
        </w:trPr>
        <w:tc>
          <w:tcPr>
            <w:tcW w:w="2513" w:type="dxa"/>
            <w:vMerge w:val="restart"/>
          </w:tcPr>
          <w:p>
            <w:pPr>
              <w:keepNext/>
              <w:widowControl w:val="false"/>
              <w:spacing w:after="0" w:line="240" w:lineRule="auto"/>
              <w:jc w:val="center"/>
            </w:pPr>
          </w:p>
        </w:tc>
        <w:tc>
          <w:tcPr>
            <w:tcW w:w="6948" w:type="dxa"/>
            <w:gridSpan w:val="5"/>
          </w:tcPr>
          <w:p>
            <w:pPr>
              <w:keepNext/>
              <w:widowControl w:val="false"/>
              <w:spacing w:after="0" w:line="240" w:lineRule="auto"/>
              <w:jc w:val="center"/>
            </w:pPr>
            <w:r>
              <w:rPr>
                <w:b/>
              </w:rPr>
              <w:t>Age</w:t>
            </w:r>
          </w:p>
        </w:tc>
      </w:tr>
      <w:tr>
        <w:trPr>
          <w:cantSplit/>
          <w:tblHeader/>
        </w:trPr>
        <w:tc>
          <w:tcPr>
            <w:tcW w:w="2513" w:type="dxa"/>
            <w:vMerge/>
          </w:tcPr>
          <w:p>
            <w:pPr>
              <w:keepNext/>
              <w:widowControl w:val="false"/>
              <w:spacing w:after="0" w:line="240" w:lineRule="auto"/>
              <w:jc w:val="center"/>
            </w:pPr>
          </w:p>
        </w:tc>
        <w:tc>
          <w:tcPr>
            <w:tcW w:w="1389" w:type="dxa"/>
          </w:tcPr>
          <w:p>
            <w:pPr>
              <w:keepNext/>
              <w:widowControl w:val="false"/>
              <w:spacing w:after="0" w:line="240" w:lineRule="auto"/>
              <w:jc w:val="center"/>
            </w:pPr>
            <w:r>
              <w:rPr>
                <w:b/>
              </w:rPr>
              <w:t>18–24 yrs</w:t>
            </w:r>
          </w:p>
        </w:tc>
        <w:tc>
          <w:tcPr>
            <w:tcW w:w="1390" w:type="dxa"/>
          </w:tcPr>
          <w:p>
            <w:pPr>
              <w:keepNext/>
              <w:widowControl w:val="false"/>
              <w:spacing w:after="0" w:line="240" w:lineRule="auto"/>
              <w:jc w:val="center"/>
            </w:pPr>
            <w:r>
              <w:rPr>
                <w:b/>
              </w:rPr>
              <w:t>25–34 yrs</w:t>
            </w:r>
          </w:p>
        </w:tc>
        <w:tc>
          <w:tcPr>
            <w:tcW w:w="1389" w:type="dxa"/>
          </w:tcPr>
          <w:p>
            <w:pPr>
              <w:keepNext/>
              <w:widowControl w:val="false"/>
              <w:spacing w:after="0" w:line="240" w:lineRule="auto"/>
              <w:jc w:val="center"/>
            </w:pPr>
            <w:r>
              <w:rPr>
                <w:b/>
              </w:rPr>
              <w:t>35–44 yrs</w:t>
            </w:r>
          </w:p>
        </w:tc>
        <w:tc>
          <w:tcPr>
            <w:tcW w:w="1390" w:type="dxa"/>
          </w:tcPr>
          <w:p>
            <w:pPr>
              <w:keepNext/>
              <w:widowControl w:val="false"/>
              <w:spacing w:after="0" w:line="240" w:lineRule="auto"/>
              <w:jc w:val="center"/>
            </w:pPr>
            <w:r>
              <w:rPr>
                <w:b/>
              </w:rPr>
              <w:t>45–65 yrs</w:t>
            </w:r>
          </w:p>
        </w:tc>
        <w:tc>
          <w:tcPr>
            <w:tcW w:w="1390" w:type="dxa"/>
          </w:tcPr>
          <w:p>
            <w:pPr>
              <w:keepNext/>
              <w:widowControl w:val="false"/>
              <w:spacing w:after="0" w:line="240" w:lineRule="auto"/>
              <w:jc w:val="center"/>
            </w:pPr>
            <w:r>
              <w:rPr>
                <w:b/>
              </w:rPr>
              <w:t>65+ yrs</w:t>
            </w:r>
          </w:p>
        </w:tc>
      </w:tr>
      <w:tr>
        <w:trPr>
          <w:cantSplit w:val="true"/>
        </w:trPr>
        <w:tc>
          <w:tcPr>
            <w:vAlign w:val="top"/>
          </w:tcPr>
          <w:p>
            <w:pPr>
              <w:spacing w:beforeAutospacing="true" w:afterAutospacing="true"/>
              <w:jc w:val="left"/>
            </w:pPr>
            <w:r>
              <w:rPr>
                <w:rFonts w:ascii="Calibri" w:hAnsi="Calibri"/>
                <w:color w:val="000000"/>
                <w:sz w:val="22"/>
              </w:rPr>
              <w:t xml:space="preserve">Less than 9th grade</w:t>
            </w:r>
          </w:p>
        </w:tc>
        <w:tc>
          <w:tcPr>
            <w:vAlign w:val="bottom"/>
          </w:tcPr>
          <w:p>
            <w:pPr>
              <w:spacing w:beforeAutospacing="true" w:afterAutospacing="true"/>
              <w:jc w:val="right"/>
            </w:pPr>
            <w:r>
              <w:rPr>
                <w:rFonts w:ascii="Calibri" w:hAnsi="Calibri"/>
                <w:color w:val="000000"/>
                <w:sz w:val="22"/>
              </w:rPr>
              <w:t xml:space="preserve">341</w:t>
            </w:r>
          </w:p>
        </w:tc>
        <w:tc>
          <w:tcPr>
            <w:vAlign w:val="bottom"/>
          </w:tcPr>
          <w:p>
            <w:pPr>
              <w:spacing w:beforeAutospacing="true" w:afterAutospacing="true"/>
              <w:jc w:val="right"/>
            </w:pPr>
            <w:r>
              <w:rPr>
                <w:rFonts w:ascii="Calibri" w:hAnsi="Calibri"/>
                <w:color w:val="000000"/>
                <w:sz w:val="22"/>
              </w:rPr>
              <w:t xml:space="preserve">1,208</w:t>
            </w:r>
          </w:p>
        </w:tc>
        <w:tc>
          <w:tcPr>
            <w:vAlign w:val="bottom"/>
          </w:tcPr>
          <w:p>
            <w:pPr>
              <w:spacing w:beforeAutospacing="true" w:afterAutospacing="true"/>
              <w:jc w:val="right"/>
            </w:pPr>
            <w:r>
              <w:rPr>
                <w:rFonts w:ascii="Calibri" w:hAnsi="Calibri"/>
                <w:color w:val="000000"/>
                <w:sz w:val="22"/>
              </w:rPr>
              <w:t xml:space="preserve">1,969</w:t>
            </w:r>
          </w:p>
        </w:tc>
        <w:tc>
          <w:tcPr>
            <w:vAlign w:val="bottom"/>
          </w:tcPr>
          <w:p>
            <w:pPr>
              <w:spacing w:beforeAutospacing="true" w:afterAutospacing="true"/>
              <w:jc w:val="right"/>
            </w:pPr>
            <w:r>
              <w:rPr>
                <w:rFonts w:ascii="Calibri" w:hAnsi="Calibri"/>
                <w:color w:val="000000"/>
                <w:sz w:val="22"/>
              </w:rPr>
              <w:t xml:space="preserve">2,357</w:t>
            </w:r>
          </w:p>
        </w:tc>
        <w:tc>
          <w:tcPr>
            <w:vAlign w:val="bottom"/>
          </w:tcPr>
          <w:p>
            <w:pPr>
              <w:spacing w:beforeAutospacing="true" w:afterAutospacing="true"/>
              <w:jc w:val="right"/>
            </w:pPr>
            <w:r>
              <w:rPr>
                <w:rFonts w:ascii="Calibri" w:hAnsi="Calibri"/>
                <w:color w:val="000000"/>
                <w:sz w:val="22"/>
              </w:rPr>
              <w:t xml:space="preserve">1,102</w:t>
            </w:r>
          </w:p>
        </w:tc>
      </w:tr>
      <w:tr>
        <w:trPr>
          <w:cantSplit w:val="true"/>
        </w:trPr>
        <w:tc>
          <w:tcPr>
            <w:vAlign w:val="top"/>
          </w:tcPr>
          <w:p>
            <w:pPr>
              <w:spacing w:beforeAutospacing="true" w:afterAutospacing="true"/>
              <w:jc w:val="left"/>
            </w:pPr>
            <w:r>
              <w:rPr>
                <w:rFonts w:ascii="Calibri" w:hAnsi="Calibri"/>
                <w:color w:val="000000"/>
                <w:sz w:val="22"/>
              </w:rPr>
              <w:t xml:space="preserve">9th to 12th grade, no diploma</w:t>
            </w:r>
          </w:p>
        </w:tc>
        <w:tc>
          <w:tcPr>
            <w:vAlign w:val="bottom"/>
          </w:tcPr>
          <w:p>
            <w:pPr>
              <w:spacing w:beforeAutospacing="true" w:afterAutospacing="true"/>
              <w:jc w:val="right"/>
            </w:pPr>
            <w:r>
              <w:rPr>
                <w:rFonts w:ascii="Calibri" w:hAnsi="Calibri"/>
                <w:color w:val="000000"/>
                <w:sz w:val="22"/>
              </w:rPr>
              <w:t xml:space="preserve">5,380</w:t>
            </w:r>
          </w:p>
        </w:tc>
        <w:tc>
          <w:tcPr>
            <w:vAlign w:val="bottom"/>
          </w:tcPr>
          <w:p>
            <w:pPr>
              <w:spacing w:beforeAutospacing="true" w:afterAutospacing="true"/>
              <w:jc w:val="right"/>
            </w:pPr>
            <w:r>
              <w:rPr>
                <w:rFonts w:ascii="Calibri" w:hAnsi="Calibri"/>
                <w:color w:val="000000"/>
                <w:sz w:val="22"/>
              </w:rPr>
              <w:t xml:space="preserve">4,444</w:t>
            </w:r>
          </w:p>
        </w:tc>
        <w:tc>
          <w:tcPr>
            <w:vAlign w:val="bottom"/>
          </w:tcPr>
          <w:p>
            <w:pPr>
              <w:spacing w:beforeAutospacing="true" w:afterAutospacing="true"/>
              <w:jc w:val="right"/>
            </w:pPr>
            <w:r>
              <w:rPr>
                <w:rFonts w:ascii="Calibri" w:hAnsi="Calibri"/>
                <w:color w:val="000000"/>
                <w:sz w:val="22"/>
              </w:rPr>
              <w:t xml:space="preserve">3,238</w:t>
            </w:r>
          </w:p>
        </w:tc>
        <w:tc>
          <w:tcPr>
            <w:vAlign w:val="bottom"/>
          </w:tcPr>
          <w:p>
            <w:pPr>
              <w:spacing w:beforeAutospacing="true" w:afterAutospacing="true"/>
              <w:jc w:val="right"/>
            </w:pPr>
            <w:r>
              <w:rPr>
                <w:rFonts w:ascii="Calibri" w:hAnsi="Calibri"/>
                <w:color w:val="000000"/>
                <w:sz w:val="22"/>
              </w:rPr>
              <w:t xml:space="preserve">5,438</w:t>
            </w:r>
          </w:p>
        </w:tc>
        <w:tc>
          <w:tcPr>
            <w:vAlign w:val="bottom"/>
          </w:tcPr>
          <w:p>
            <w:pPr>
              <w:spacing w:beforeAutospacing="true" w:afterAutospacing="true"/>
              <w:jc w:val="right"/>
            </w:pPr>
            <w:r>
              <w:rPr>
                <w:rFonts w:ascii="Calibri" w:hAnsi="Calibri"/>
                <w:color w:val="000000"/>
                <w:sz w:val="22"/>
              </w:rPr>
              <w:t xml:space="preserve">2,642</w:t>
            </w:r>
          </w:p>
        </w:tc>
      </w:tr>
      <w:tr>
        <w:trPr>
          <w:cantSplit w:val="true"/>
        </w:trPr>
        <w:tc>
          <w:tcPr>
            <w:vAlign w:val="top"/>
          </w:tcPr>
          <w:p>
            <w:pPr>
              <w:spacing w:beforeAutospacing="true" w:afterAutospacing="true"/>
              <w:jc w:val="left"/>
            </w:pPr>
            <w:r>
              <w:rPr>
                <w:rFonts w:ascii="Calibri" w:hAnsi="Calibri"/>
                <w:color w:val="000000"/>
                <w:sz w:val="22"/>
              </w:rPr>
              <w:t xml:space="preserve">High school graduate, GED, or alternative</w:t>
            </w:r>
          </w:p>
        </w:tc>
        <w:tc>
          <w:tcPr>
            <w:vAlign w:val="bottom"/>
          </w:tcPr>
          <w:p>
            <w:pPr>
              <w:spacing w:beforeAutospacing="true" w:afterAutospacing="true"/>
              <w:jc w:val="right"/>
            </w:pPr>
            <w:r>
              <w:rPr>
                <w:rFonts w:ascii="Calibri" w:hAnsi="Calibri"/>
                <w:color w:val="000000"/>
                <w:sz w:val="22"/>
              </w:rPr>
              <w:t xml:space="preserve">13,154</w:t>
            </w:r>
          </w:p>
        </w:tc>
        <w:tc>
          <w:tcPr>
            <w:vAlign w:val="bottom"/>
          </w:tcPr>
          <w:p>
            <w:pPr>
              <w:spacing w:beforeAutospacing="true" w:afterAutospacing="true"/>
              <w:jc w:val="right"/>
            </w:pPr>
            <w:r>
              <w:rPr>
                <w:rFonts w:ascii="Calibri" w:hAnsi="Calibri"/>
                <w:color w:val="000000"/>
                <w:sz w:val="22"/>
              </w:rPr>
              <w:t xml:space="preserve">14,560</w:t>
            </w:r>
          </w:p>
        </w:tc>
        <w:tc>
          <w:tcPr>
            <w:vAlign w:val="bottom"/>
          </w:tcPr>
          <w:p>
            <w:pPr>
              <w:spacing w:beforeAutospacing="true" w:afterAutospacing="true"/>
              <w:jc w:val="right"/>
            </w:pPr>
            <w:r>
              <w:rPr>
                <w:rFonts w:ascii="Calibri" w:hAnsi="Calibri"/>
                <w:color w:val="000000"/>
                <w:sz w:val="22"/>
              </w:rPr>
              <w:t xml:space="preserve">12,760</w:t>
            </w:r>
          </w:p>
        </w:tc>
        <w:tc>
          <w:tcPr>
            <w:vAlign w:val="bottom"/>
          </w:tcPr>
          <w:p>
            <w:pPr>
              <w:spacing w:beforeAutospacing="true" w:afterAutospacing="true"/>
              <w:jc w:val="right"/>
            </w:pPr>
            <w:r>
              <w:rPr>
                <w:rFonts w:ascii="Calibri" w:hAnsi="Calibri"/>
                <w:color w:val="000000"/>
                <w:sz w:val="22"/>
              </w:rPr>
              <w:t xml:space="preserve">20,373</w:t>
            </w:r>
          </w:p>
        </w:tc>
        <w:tc>
          <w:tcPr>
            <w:vAlign w:val="bottom"/>
          </w:tcPr>
          <w:p>
            <w:pPr>
              <w:spacing w:beforeAutospacing="true" w:afterAutospacing="true"/>
              <w:jc w:val="right"/>
            </w:pPr>
            <w:r>
              <w:rPr>
                <w:rFonts w:ascii="Calibri" w:hAnsi="Calibri"/>
                <w:color w:val="000000"/>
                <w:sz w:val="22"/>
              </w:rPr>
              <w:t xml:space="preserve">11,828</w:t>
            </w:r>
          </w:p>
        </w:tc>
      </w:tr>
      <w:tr>
        <w:trPr>
          <w:cantSplit w:val="true"/>
        </w:trPr>
        <w:tc>
          <w:tcPr>
            <w:vAlign w:val="top"/>
          </w:tcPr>
          <w:p>
            <w:pPr>
              <w:spacing w:beforeAutospacing="true" w:afterAutospacing="true"/>
              <w:jc w:val="left"/>
            </w:pPr>
            <w:r>
              <w:rPr>
                <w:rFonts w:ascii="Calibri" w:hAnsi="Calibri"/>
                <w:color w:val="000000"/>
                <w:sz w:val="22"/>
              </w:rPr>
              <w:t xml:space="preserve">Some college, no degree</w:t>
            </w:r>
          </w:p>
        </w:tc>
        <w:tc>
          <w:tcPr>
            <w:vAlign w:val="bottom"/>
          </w:tcPr>
          <w:p>
            <w:pPr>
              <w:spacing w:beforeAutospacing="true" w:afterAutospacing="true"/>
              <w:jc w:val="right"/>
            </w:pPr>
            <w:r>
              <w:rPr>
                <w:rFonts w:ascii="Calibri" w:hAnsi="Calibri"/>
                <w:color w:val="000000"/>
                <w:sz w:val="22"/>
              </w:rPr>
              <w:t xml:space="preserve">15,358</w:t>
            </w:r>
          </w:p>
        </w:tc>
        <w:tc>
          <w:tcPr>
            <w:vAlign w:val="bottom"/>
          </w:tcPr>
          <w:p>
            <w:pPr>
              <w:spacing w:beforeAutospacing="true" w:afterAutospacing="true"/>
              <w:jc w:val="right"/>
            </w:pPr>
            <w:r>
              <w:rPr>
                <w:rFonts w:ascii="Calibri" w:hAnsi="Calibri"/>
                <w:color w:val="000000"/>
                <w:sz w:val="22"/>
              </w:rPr>
              <w:t xml:space="preserve">20,344</w:t>
            </w:r>
          </w:p>
        </w:tc>
        <w:tc>
          <w:tcPr>
            <w:vAlign w:val="bottom"/>
          </w:tcPr>
          <w:p>
            <w:pPr>
              <w:spacing w:beforeAutospacing="true" w:afterAutospacing="true"/>
              <w:jc w:val="right"/>
            </w:pPr>
            <w:r>
              <w:rPr>
                <w:rFonts w:ascii="Calibri" w:hAnsi="Calibri"/>
                <w:color w:val="000000"/>
                <w:sz w:val="22"/>
              </w:rPr>
              <w:t xml:space="preserve">14,911</w:t>
            </w:r>
          </w:p>
        </w:tc>
        <w:tc>
          <w:tcPr>
            <w:vAlign w:val="bottom"/>
          </w:tcPr>
          <w:p>
            <w:pPr>
              <w:spacing w:beforeAutospacing="true" w:afterAutospacing="true"/>
              <w:jc w:val="right"/>
            </w:pPr>
            <w:r>
              <w:rPr>
                <w:rFonts w:ascii="Calibri" w:hAnsi="Calibri"/>
                <w:color w:val="000000"/>
                <w:sz w:val="22"/>
              </w:rPr>
              <w:t xml:space="preserve">25,860</w:t>
            </w:r>
          </w:p>
        </w:tc>
        <w:tc>
          <w:tcPr>
            <w:vAlign w:val="bottom"/>
          </w:tcPr>
          <w:p>
            <w:pPr>
              <w:spacing w:beforeAutospacing="true" w:afterAutospacing="true"/>
              <w:jc w:val="right"/>
            </w:pPr>
            <w:r>
              <w:rPr>
                <w:rFonts w:ascii="Calibri" w:hAnsi="Calibri"/>
                <w:color w:val="000000"/>
                <w:sz w:val="22"/>
              </w:rPr>
              <w:t xml:space="preserve">12,328</w:t>
            </w:r>
          </w:p>
        </w:tc>
      </w:tr>
      <w:tr>
        <w:trPr>
          <w:cantSplit w:val="true"/>
        </w:trPr>
        <w:tc>
          <w:tcPr>
            <w:vAlign w:val="top"/>
          </w:tcPr>
          <w:p>
            <w:pPr>
              <w:spacing w:beforeAutospacing="true" w:afterAutospacing="true"/>
              <w:jc w:val="left"/>
            </w:pPr>
            <w:r>
              <w:rPr>
                <w:rFonts w:ascii="Calibri" w:hAnsi="Calibri"/>
                <w:color w:val="000000"/>
                <w:sz w:val="22"/>
              </w:rPr>
              <w:t xml:space="preserve">Associate's degree</w:t>
            </w:r>
          </w:p>
        </w:tc>
        <w:tc>
          <w:tcPr>
            <w:vAlign w:val="bottom"/>
          </w:tcPr>
          <w:p>
            <w:pPr>
              <w:spacing w:beforeAutospacing="true" w:afterAutospacing="true"/>
              <w:jc w:val="right"/>
            </w:pPr>
            <w:r>
              <w:rPr>
                <w:rFonts w:ascii="Calibri" w:hAnsi="Calibri"/>
                <w:color w:val="000000"/>
                <w:sz w:val="22"/>
              </w:rPr>
              <w:t xml:space="preserve">3,045</w:t>
            </w:r>
          </w:p>
        </w:tc>
        <w:tc>
          <w:tcPr>
            <w:vAlign w:val="bottom"/>
          </w:tcPr>
          <w:p>
            <w:pPr>
              <w:spacing w:beforeAutospacing="true" w:afterAutospacing="true"/>
              <w:jc w:val="right"/>
            </w:pPr>
            <w:r>
              <w:rPr>
                <w:rFonts w:ascii="Calibri" w:hAnsi="Calibri"/>
                <w:color w:val="000000"/>
                <w:sz w:val="22"/>
              </w:rPr>
              <w:t xml:space="preserve">7,732</w:t>
            </w:r>
          </w:p>
        </w:tc>
        <w:tc>
          <w:tcPr>
            <w:vAlign w:val="bottom"/>
          </w:tcPr>
          <w:p>
            <w:pPr>
              <w:spacing w:beforeAutospacing="true" w:afterAutospacing="true"/>
              <w:jc w:val="right"/>
            </w:pPr>
            <w:r>
              <w:rPr>
                <w:rFonts w:ascii="Calibri" w:hAnsi="Calibri"/>
                <w:color w:val="000000"/>
                <w:sz w:val="22"/>
              </w:rPr>
              <w:t xml:space="preserve">5,881</w:t>
            </w:r>
          </w:p>
        </w:tc>
        <w:tc>
          <w:tcPr>
            <w:vAlign w:val="bottom"/>
          </w:tcPr>
          <w:p>
            <w:pPr>
              <w:spacing w:beforeAutospacing="true" w:afterAutospacing="true"/>
              <w:jc w:val="right"/>
            </w:pPr>
            <w:r>
              <w:rPr>
                <w:rFonts w:ascii="Calibri" w:hAnsi="Calibri"/>
                <w:color w:val="000000"/>
                <w:sz w:val="22"/>
              </w:rPr>
              <w:t xml:space="preserve">8,223</w:t>
            </w:r>
          </w:p>
        </w:tc>
        <w:tc>
          <w:tcPr>
            <w:vAlign w:val="bottom"/>
          </w:tcPr>
          <w:p>
            <w:pPr>
              <w:spacing w:beforeAutospacing="true" w:afterAutospacing="true"/>
              <w:jc w:val="right"/>
            </w:pPr>
            <w:r>
              <w:rPr>
                <w:rFonts w:ascii="Calibri" w:hAnsi="Calibri"/>
                <w:color w:val="000000"/>
                <w:sz w:val="22"/>
              </w:rPr>
              <w:t xml:space="preserve">2,485</w:t>
            </w:r>
          </w:p>
        </w:tc>
      </w:tr>
      <w:tr>
        <w:trPr>
          <w:cantSplit w:val="true"/>
        </w:trPr>
        <w:tc>
          <w:tcPr>
            <w:vAlign w:val="top"/>
          </w:tcPr>
          <w:p>
            <w:pPr>
              <w:spacing w:beforeAutospacing="true" w:afterAutospacing="true"/>
              <w:jc w:val="left"/>
            </w:pPr>
            <w:r>
              <w:rPr>
                <w:rFonts w:ascii="Calibri" w:hAnsi="Calibri"/>
                <w:color w:val="000000"/>
                <w:sz w:val="22"/>
              </w:rPr>
              <w:t xml:space="preserve">Bachelor's degree</w:t>
            </w:r>
          </w:p>
        </w:tc>
        <w:tc>
          <w:tcPr>
            <w:vAlign w:val="bottom"/>
          </w:tcPr>
          <w:p>
            <w:pPr>
              <w:spacing w:beforeAutospacing="true" w:afterAutospacing="true"/>
              <w:jc w:val="right"/>
            </w:pPr>
            <w:r>
              <w:rPr>
                <w:rFonts w:ascii="Calibri" w:hAnsi="Calibri"/>
                <w:color w:val="000000"/>
                <w:sz w:val="22"/>
              </w:rPr>
              <w:t xml:space="preserve">2,302</w:t>
            </w:r>
          </w:p>
        </w:tc>
        <w:tc>
          <w:tcPr>
            <w:vAlign w:val="bottom"/>
          </w:tcPr>
          <w:p>
            <w:pPr>
              <w:spacing w:beforeAutospacing="true" w:afterAutospacing="true"/>
              <w:jc w:val="right"/>
            </w:pPr>
            <w:r>
              <w:rPr>
                <w:rFonts w:ascii="Calibri" w:hAnsi="Calibri"/>
                <w:color w:val="000000"/>
                <w:sz w:val="22"/>
              </w:rPr>
              <w:t xml:space="preserve">16,822</w:t>
            </w:r>
          </w:p>
        </w:tc>
        <w:tc>
          <w:tcPr>
            <w:vAlign w:val="bottom"/>
          </w:tcPr>
          <w:p>
            <w:pPr>
              <w:spacing w:beforeAutospacing="true" w:afterAutospacing="true"/>
              <w:jc w:val="right"/>
            </w:pPr>
            <w:r>
              <w:rPr>
                <w:rFonts w:ascii="Calibri" w:hAnsi="Calibri"/>
                <w:color w:val="000000"/>
                <w:sz w:val="22"/>
              </w:rPr>
              <w:t xml:space="preserve">14,089</w:t>
            </w:r>
          </w:p>
        </w:tc>
        <w:tc>
          <w:tcPr>
            <w:vAlign w:val="bottom"/>
          </w:tcPr>
          <w:p>
            <w:pPr>
              <w:spacing w:beforeAutospacing="true" w:afterAutospacing="true"/>
              <w:jc w:val="right"/>
            </w:pPr>
            <w:r>
              <w:rPr>
                <w:rFonts w:ascii="Calibri" w:hAnsi="Calibri"/>
                <w:color w:val="000000"/>
                <w:sz w:val="22"/>
              </w:rPr>
              <w:t xml:space="preserve">19,898</w:t>
            </w:r>
          </w:p>
        </w:tc>
        <w:tc>
          <w:tcPr>
            <w:vAlign w:val="bottom"/>
          </w:tcPr>
          <w:p>
            <w:pPr>
              <w:spacing w:beforeAutospacing="true" w:afterAutospacing="true"/>
              <w:jc w:val="right"/>
            </w:pPr>
            <w:r>
              <w:rPr>
                <w:rFonts w:ascii="Calibri" w:hAnsi="Calibri"/>
                <w:color w:val="000000"/>
                <w:sz w:val="22"/>
              </w:rPr>
              <w:t xml:space="preserve">8,682</w:t>
            </w:r>
          </w:p>
        </w:tc>
      </w:tr>
      <w:tr>
        <w:trPr>
          <w:cantSplit w:val="true"/>
        </w:trPr>
        <w:tc>
          <w:tcPr>
            <w:vAlign w:val="top"/>
          </w:tcPr>
          <w:p>
            <w:pPr>
              <w:spacing w:beforeAutospacing="true" w:afterAutospacing="true"/>
              <w:jc w:val="left"/>
            </w:pPr>
            <w:r>
              <w:rPr>
                <w:rFonts w:ascii="Calibri" w:hAnsi="Calibri"/>
                <w:color w:val="000000"/>
                <w:sz w:val="22"/>
              </w:rPr>
              <w:t xml:space="preserve">Graduate or professional degree</w:t>
            </w:r>
          </w:p>
        </w:tc>
        <w:tc>
          <w:tcPr>
            <w:vAlign w:val="bottom"/>
          </w:tcPr>
          <w:p>
            <w:pPr>
              <w:spacing w:beforeAutospacing="true" w:afterAutospacing="true"/>
              <w:jc w:val="right"/>
            </w:pPr>
            <w:r>
              <w:rPr>
                <w:rFonts w:ascii="Calibri" w:hAnsi="Calibri"/>
                <w:color w:val="000000"/>
                <w:sz w:val="22"/>
              </w:rPr>
              <w:t xml:space="preserve">77</w:t>
            </w:r>
          </w:p>
        </w:tc>
        <w:tc>
          <w:tcPr>
            <w:vAlign w:val="bottom"/>
          </w:tcPr>
          <w:p>
            <w:pPr>
              <w:spacing w:beforeAutospacing="true" w:afterAutospacing="true"/>
              <w:jc w:val="right"/>
            </w:pPr>
            <w:r>
              <w:rPr>
                <w:rFonts w:ascii="Calibri" w:hAnsi="Calibri"/>
                <w:color w:val="000000"/>
                <w:sz w:val="22"/>
              </w:rPr>
              <w:t xml:space="preserve">6,089</w:t>
            </w:r>
          </w:p>
        </w:tc>
        <w:tc>
          <w:tcPr>
            <w:vAlign w:val="bottom"/>
          </w:tcPr>
          <w:p>
            <w:pPr>
              <w:spacing w:beforeAutospacing="true" w:afterAutospacing="true"/>
              <w:jc w:val="right"/>
            </w:pPr>
            <w:r>
              <w:rPr>
                <w:rFonts w:ascii="Calibri" w:hAnsi="Calibri"/>
                <w:color w:val="000000"/>
                <w:sz w:val="22"/>
              </w:rPr>
              <w:t xml:space="preserve">7,276</w:t>
            </w:r>
          </w:p>
        </w:tc>
        <w:tc>
          <w:tcPr>
            <w:vAlign w:val="bottom"/>
          </w:tcPr>
          <w:p>
            <w:pPr>
              <w:spacing w:beforeAutospacing="true" w:afterAutospacing="true"/>
              <w:jc w:val="right"/>
            </w:pPr>
            <w:r>
              <w:rPr>
                <w:rFonts w:ascii="Calibri" w:hAnsi="Calibri"/>
                <w:color w:val="000000"/>
                <w:sz w:val="22"/>
              </w:rPr>
              <w:t xml:space="preserve">12,169</w:t>
            </w:r>
          </w:p>
        </w:tc>
        <w:tc>
          <w:tcPr>
            <w:vAlign w:val="bottom"/>
          </w:tcPr>
          <w:p>
            <w:pPr>
              <w:spacing w:beforeAutospacing="true" w:afterAutospacing="true"/>
              <w:jc w:val="right"/>
            </w:pPr>
            <w:r>
              <w:rPr>
                <w:rFonts w:ascii="Calibri" w:hAnsi="Calibri"/>
                <w:color w:val="000000"/>
                <w:sz w:val="22"/>
              </w:rPr>
              <w:t xml:space="preserve">5,659</w:t>
            </w:r>
          </w:p>
        </w:tc>
      </w:tr>
    </w:tbl>
    <w:p>
      <w:pPr>
        <w:pStyle w:val="Caption"/>
        <w:jc w:val="center"/>
        <w:rPr>
          <w:rFonts w:asciiTheme="minorHAnsi" w:hAnsiTheme="minorHAnsi"/>
        </w:rPr>
      </w:pPr>
      <w:r>
        <w:rPr>
          <w:rFonts w:asciiTheme="minorHAnsi" w:hAnsiTheme="minorHAnsi"/>
        </w:rPr>
        <w:t xml:space="preserve">Table </w:t>
        <w:fldChar w:fldCharType="begin"/>
        <w:instrText xml:space="preserve"> SEQ Table \* ARABIC </w:instrText>
        <w:fldChar w:fldCharType="separate"/>
        <w:t>16</w:t>
        <w:fldChar w:fldCharType="end"/>
        <w:t xml:space="preserve"> - Educational Attainment by Age</w:t>
      </w:r>
    </w:p>
    <w:tbl>
      <w:tblPr>
        <w:tblW w:w="5000" w:type="pct"/>
        <w:tblInd w:w="115" w:type="dxa"/>
        <w:tblLook w:firstRow="1" w:lastRow="1" w:firstColumn="1" w:lastColumn="1" w:noHBand="0" w:noVBand="0" w:val="01E0"/>
      </w:tblPr>
      <w:tblGrid>
        <w:gridCol w:w="1476"/>
        <w:gridCol w:w="11700"/>
      </w:tblGrid>
      <w:tr>
        <w:trPr>
          <w:cantSplit/>
        </w:trPr>
        <w:tc>
          <w:tcPr>
            <w:tcW w:w="1073" w:type="dxa"/>
          </w:tcPr>
          <w:p>
            <w:pPr>
              <w:spacing w:after="0" w:line="240" w:lineRule="auto"/>
              <w:rPr>
                <w:rFonts w:cs="Arial"/>
                <w:sz w:val="16"/>
                <w:szCs w:val="16"/>
              </w:rPr>
            </w:pPr>
            <w:r>
              <w:rPr>
                <w:b/>
                <w:bCs/>
                <w:sz w:val="16"/>
                <w:szCs w:val="16"/>
              </w:rPr>
              <w:t>Data Source:</w:t>
            </w:r>
          </w:p>
        </w:tc>
        <w:tc>
          <w:tcPr>
            <w:tcW w:w="8503" w:type="dxa"/>
          </w:tcPr>
          <w:p>
            <w:pPr>
              <w:spacing w:beforeAutospacing="true" w:afterAutospacing="true"/>
              <w:rPr>
                <w:rFonts w:cs="Arial"/>
                <w:sz w:val="16"/>
                <w:szCs w:val="16"/>
              </w:rPr>
            </w:pPr>
            <w:r>
              <w:rPr>
                <w:rFonts w:cs="Arial"/>
                <w:sz w:val="16"/>
                <w:szCs w:val="16"/>
              </w:rPr>
              <w:t xml:space="preserve">2011-2015 ACS</w:t>
            </w:r>
          </w:p>
        </w:tc>
      </w:tr>
    </w:tbl>
    <w:p>
      <w:pPr>
        <w:keepNext/>
        <w:widowControl w:val="false"/>
        <w:spacing w:after="0" w:line="240" w:lineRule="auto"/>
        <w:jc w:val="center"/>
        <w:rPr>
          <w:b/>
          <w:bCs/>
          <w:vanish/>
          <w:sz w:val="20"/>
          <w:szCs w:val="20"/>
        </w:rPr>
      </w:pPr>
    </w:p>
    <w:p>
      <w:pPr>
        <w:rPr>
          <w:b/>
          <w:bCs/>
          <w:vanish/>
          <w:sz w:val="16"/>
          <w:szCs w:val="16"/>
        </w:rPr>
      </w:pPr>
    </w:p>
    <w:tbl>
      <w:tblPr>
        <w:tblW w:w="5000" w:type="pct"/>
        <w:tblInd w:w="115" w:type="dxa"/>
        <w:tblLook w:firstRow="1" w:lastRow="1" w:firstColumn="1" w:lastColumn="1" w:noHBand="0" w:noVBand="0" w:val="01E0"/>
      </w:tblPr>
      <w:tblGrid>
        <w:gridCol w:w="2715"/>
        <w:gridCol w:w="10461"/>
      </w:tblGrid>
    </w:tbl>
    <w:p>
      <w:pPr>
        <w:rPr>
          <w:bCs/>
        </w:rPr>
      </w:pPr>
    </w:p>
    <w:p>
      <w:pPr>
        <w:keepNext/>
        <w:widowControl w:val="false"/>
        <w:rPr>
          <w:sz w:val="24"/>
          <w:szCs w:val="24"/>
        </w:rPr>
      </w:pPr>
      <w:r>
        <w:rPr>
          <w:sz w:val="24"/>
          <w:szCs w:val="24"/>
        </w:rPr>
        <w:t>Educational Attainment – Median Earnings in the Past 12 Months</w:t>
      </w:r>
    </w:p>
    <w:tbl>
      <w:tblPr>
        <w:tblW w:w="5000" w:type="pct"/>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firstRow="1" w:lastRow="1" w:firstColumn="1" w:lastColumn="1" w:noHBand="0" w:noVBand="0" w:val="01E0"/>
      </w:tblPr>
      <w:tblGrid>
        <w:gridCol w:w="6262"/>
        <w:gridCol w:w="6914"/>
      </w:tblGrid>
      <w:tr>
        <w:trPr>
          <w:cantSplit/>
          <w:tblHeader/>
        </w:trPr>
        <w:tc>
          <w:tcPr>
            <w:tcW w:w="4500" w:type="dxa"/>
          </w:tcPr>
          <w:p>
            <w:pPr>
              <w:keepNext/>
              <w:widowControl w:val="false"/>
              <w:spacing w:after="0" w:line="240" w:lineRule="auto"/>
              <w:jc w:val="center"/>
              <w:rPr>
                <w:b/>
              </w:rPr>
            </w:pPr>
            <w:r>
              <w:rPr>
                <w:b/>
              </w:rPr>
              <w:t>Educational Attainment</w:t>
            </w:r>
          </w:p>
        </w:tc>
        <w:tc>
          <w:tcPr>
            <w:tcW w:w="4968" w:type="dxa"/>
          </w:tcPr>
          <w:p>
            <w:pPr>
              <w:keepNext/>
              <w:widowControl w:val="false"/>
              <w:spacing w:after="0" w:line="240" w:lineRule="auto"/>
              <w:jc w:val="center"/>
              <w:rPr>
                <w:b/>
              </w:rPr>
            </w:pPr>
            <w:r>
              <w:rPr>
                <w:b/>
              </w:rPr>
              <w:t>Median Earnings in the Past 12 Months</w:t>
            </w:r>
          </w:p>
        </w:tc>
      </w:tr>
      <w:tr>
        <w:trPr>
          <w:cantSplit w:val="true"/>
        </w:trPr>
        <w:tc>
          <w:tcPr>
            <w:vAlign w:val="top"/>
          </w:tcPr>
          <w:p>
            <w:pPr>
              <w:spacing w:beforeAutospacing="true" w:afterAutospacing="true"/>
              <w:jc w:val="left"/>
            </w:pPr>
            <w:r>
              <w:rPr>
                <w:rFonts w:ascii="Calibri" w:hAnsi="Calibri"/>
                <w:color w:val="000000"/>
                <w:sz w:val="22"/>
              </w:rPr>
              <w:t xml:space="preserve">Less than high school graduate</w:t>
            </w:r>
          </w:p>
        </w:tc>
        <w:tc>
          <w:tcPr>
            <w:vAlign w:val="bottom"/>
          </w:tcPr>
          <w:p>
            <w:pPr>
              <w:spacing w:beforeAutospacing="true" w:afterAutospacing="true"/>
              <w:jc w:val="right"/>
            </w:pPr>
            <w:r>
              <w:rPr>
                <w:rFonts w:ascii="Calibri" w:hAnsi="Calibri"/>
                <w:color w:val="000000"/>
                <w:sz w:val="22"/>
              </w:rPr>
              <w:t xml:space="preserve">417,975</w:t>
            </w:r>
          </w:p>
        </w:tc>
      </w:tr>
      <w:tr>
        <w:trPr>
          <w:cantSplit w:val="true"/>
        </w:trPr>
        <w:tc>
          <w:tcPr>
            <w:vAlign w:val="top"/>
          </w:tcPr>
          <w:p>
            <w:pPr>
              <w:spacing w:beforeAutospacing="true" w:afterAutospacing="true"/>
              <w:jc w:val="left"/>
            </w:pPr>
            <w:r>
              <w:rPr>
                <w:rFonts w:ascii="Calibri" w:hAnsi="Calibri"/>
                <w:color w:val="000000"/>
                <w:sz w:val="22"/>
              </w:rPr>
              <w:t xml:space="preserve">High school graduate (includes equivalency)</w:t>
            </w:r>
          </w:p>
        </w:tc>
        <w:tc>
          <w:tcPr>
            <w:vAlign w:val="bottom"/>
          </w:tcPr>
          <w:p>
            <w:pPr>
              <w:spacing w:beforeAutospacing="true" w:afterAutospacing="true"/>
              <w:jc w:val="right"/>
            </w:pPr>
            <w:r>
              <w:rPr>
                <w:rFonts w:ascii="Calibri" w:hAnsi="Calibri"/>
                <w:color w:val="000000"/>
                <w:sz w:val="22"/>
              </w:rPr>
              <w:t xml:space="preserve">745,256</w:t>
            </w:r>
          </w:p>
        </w:tc>
      </w:tr>
      <w:tr>
        <w:trPr>
          <w:cantSplit w:val="true"/>
        </w:trPr>
        <w:tc>
          <w:tcPr>
            <w:vAlign w:val="top"/>
          </w:tcPr>
          <w:p>
            <w:pPr>
              <w:spacing w:beforeAutospacing="true" w:afterAutospacing="true"/>
              <w:jc w:val="left"/>
            </w:pPr>
            <w:r>
              <w:rPr>
                <w:rFonts w:ascii="Calibri" w:hAnsi="Calibri"/>
                <w:color w:val="000000"/>
                <w:sz w:val="22"/>
              </w:rPr>
              <w:t xml:space="preserve">Some college or Associate's degree</w:t>
            </w:r>
          </w:p>
        </w:tc>
        <w:tc>
          <w:tcPr>
            <w:vAlign w:val="bottom"/>
          </w:tcPr>
          <w:p>
            <w:pPr>
              <w:spacing w:beforeAutospacing="true" w:afterAutospacing="true"/>
              <w:jc w:val="right"/>
            </w:pPr>
            <w:r>
              <w:rPr>
                <w:rFonts w:ascii="Calibri" w:hAnsi="Calibri"/>
                <w:color w:val="000000"/>
                <w:sz w:val="22"/>
              </w:rPr>
              <w:t xml:space="preserve">1,028,850</w:t>
            </w:r>
          </w:p>
        </w:tc>
      </w:tr>
      <w:tr>
        <w:trPr>
          <w:cantSplit w:val="true"/>
        </w:trPr>
        <w:tc>
          <w:tcPr>
            <w:vAlign w:val="top"/>
          </w:tcPr>
          <w:p>
            <w:pPr>
              <w:spacing w:beforeAutospacing="true" w:afterAutospacing="true"/>
              <w:jc w:val="left"/>
            </w:pPr>
            <w:r>
              <w:rPr>
                <w:rFonts w:ascii="Calibri" w:hAnsi="Calibri"/>
                <w:color w:val="000000"/>
                <w:sz w:val="22"/>
              </w:rPr>
              <w:t xml:space="preserve">Bachelor's degree</w:t>
            </w:r>
          </w:p>
        </w:tc>
        <w:tc>
          <w:tcPr>
            <w:vAlign w:val="bottom"/>
          </w:tcPr>
          <w:p>
            <w:pPr>
              <w:spacing w:beforeAutospacing="true" w:afterAutospacing="true"/>
              <w:jc w:val="right"/>
            </w:pPr>
            <w:r>
              <w:rPr>
                <w:rFonts w:ascii="Calibri" w:hAnsi="Calibri"/>
                <w:color w:val="000000"/>
                <w:sz w:val="22"/>
              </w:rPr>
              <w:t xml:space="preserve">1,587,762</w:t>
            </w:r>
          </w:p>
        </w:tc>
      </w:tr>
      <w:tr>
        <w:trPr>
          <w:cantSplit w:val="true"/>
        </w:trPr>
        <w:tc>
          <w:tcPr>
            <w:vAlign w:val="top"/>
          </w:tcPr>
          <w:p>
            <w:pPr>
              <w:spacing w:beforeAutospacing="true" w:afterAutospacing="true"/>
              <w:jc w:val="left"/>
            </w:pPr>
            <w:r>
              <w:rPr>
                <w:rFonts w:ascii="Calibri" w:hAnsi="Calibri"/>
                <w:color w:val="000000"/>
                <w:sz w:val="22"/>
              </w:rPr>
              <w:t xml:space="preserve">Graduate or professional degree</w:t>
            </w:r>
          </w:p>
        </w:tc>
        <w:tc>
          <w:tcPr>
            <w:vAlign w:val="bottom"/>
          </w:tcPr>
          <w:p>
            <w:pPr>
              <w:spacing w:beforeAutospacing="true" w:afterAutospacing="true"/>
              <w:jc w:val="right"/>
            </w:pPr>
            <w:r>
              <w:rPr>
                <w:rFonts w:ascii="Calibri" w:hAnsi="Calibri"/>
                <w:color w:val="000000"/>
                <w:sz w:val="22"/>
              </w:rPr>
              <w:t xml:space="preserve">2,194,394</w:t>
            </w:r>
          </w:p>
        </w:tc>
      </w:tr>
    </w:tbl>
    <w:p>
      <w:pPr>
        <w:pStyle w:val="Caption"/>
        <w:jc w:val="center"/>
        <w:rPr>
          <w:rFonts w:asciiTheme="minorHAnsi" w:hAnsiTheme="minorHAnsi"/>
          <w:b w:val="false"/>
          <w:bCs w:val="false"/>
        </w:rPr>
      </w:pPr>
      <w:r>
        <w:rPr>
          <w:rFonts w:asciiTheme="minorHAnsi" w:hAnsiTheme="minorHAnsi"/>
        </w:rPr>
        <w:t xml:space="preserve">Table </w:t>
        <w:fldChar w:fldCharType="begin"/>
        <w:instrText xml:space="preserve"> SEQ Table \* ARABIC </w:instrText>
        <w:fldChar w:fldCharType="separate"/>
        <w:t>17</w:t>
        <w:fldChar w:fldCharType="end"/>
        <w:t xml:space="preserve"> – Median Earnings in the Past 12 Months</w:t>
      </w:r>
    </w:p>
    <w:tbl>
      <w:tblPr>
        <w:tblW w:w="5000" w:type="pct"/>
        <w:tblInd w:w="115" w:type="dxa"/>
        <w:tblLook w:firstRow="1" w:lastRow="1" w:firstColumn="1" w:lastColumn="1" w:noHBand="0" w:noVBand="0" w:val="01E0"/>
      </w:tblPr>
      <w:tblGrid>
        <w:gridCol w:w="1476"/>
        <w:gridCol w:w="11700"/>
      </w:tblGrid>
      <w:tr>
        <w:trPr>
          <w:cantSplit/>
        </w:trPr>
        <w:tc>
          <w:tcPr>
            <w:tcW w:w="1073" w:type="dxa"/>
          </w:tcPr>
          <w:p>
            <w:pPr>
              <w:spacing w:after="0" w:line="240" w:lineRule="auto"/>
              <w:rPr>
                <w:rFonts w:cs="Arial"/>
                <w:sz w:val="16"/>
                <w:szCs w:val="16"/>
              </w:rPr>
            </w:pPr>
            <w:r>
              <w:rPr>
                <w:b/>
                <w:bCs/>
                <w:sz w:val="16"/>
                <w:szCs w:val="16"/>
              </w:rPr>
              <w:t>Data Source:</w:t>
            </w:r>
          </w:p>
        </w:tc>
        <w:tc>
          <w:tcPr>
            <w:tcW w:w="8503" w:type="dxa"/>
          </w:tcPr>
          <w:p>
            <w:pPr>
              <w:spacing w:beforeAutospacing="true" w:afterAutospacing="true"/>
              <w:rPr>
                <w:rFonts w:cs="Arial"/>
                <w:sz w:val="16"/>
                <w:szCs w:val="16"/>
              </w:rPr>
            </w:pPr>
            <w:r>
              <w:rPr>
                <w:rFonts w:cs="Arial"/>
                <w:sz w:val="16"/>
                <w:szCs w:val="16"/>
              </w:rPr>
              <w:t xml:space="preserve">2011-2015 ACS</w:t>
            </w:r>
          </w:p>
        </w:tc>
      </w:tr>
    </w:tbl>
    <w:p>
      <w:pPr>
        <w:keepNext/>
        <w:widowControl w:val="false"/>
        <w:spacing w:after="0" w:line="240" w:lineRule="auto"/>
        <w:jc w:val="center"/>
        <w:rPr>
          <w:b/>
          <w:bCs/>
          <w:vanish/>
          <w:sz w:val="20"/>
          <w:szCs w:val="20"/>
        </w:rPr>
      </w:pPr>
    </w:p>
    <w:p>
      <w:pPr>
        <w:rPr>
          <w:b/>
          <w:bCs/>
          <w:vanish/>
          <w:sz w:val="16"/>
          <w:szCs w:val="16"/>
        </w:rPr>
      </w:pPr>
    </w:p>
    <w:tbl>
      <w:tblPr>
        <w:tblW w:w="5000" w:type="pct"/>
        <w:tblInd w:w="115" w:type="dxa"/>
        <w:tblLook w:firstRow="1" w:lastRow="1" w:firstColumn="1" w:lastColumn="1" w:noHBand="0" w:noVBand="0" w:val="01E0"/>
      </w:tblPr>
      <w:tblGrid>
        <w:gridCol w:w="2715"/>
        <w:gridCol w:w="10461"/>
      </w:tblGrid>
    </w:tbl>
    <w:p>
      <w:pPr>
        <w:spacing w:after="0" w:line="240" w:lineRule="auto"/>
        <w:rPr>
          <w:b/>
          <w:bCs/>
          <w:sz w:val="16"/>
          <w:szCs w:val="16"/>
        </w:rPr>
      </w:pPr>
    </w:p>
    <w:p>
      <w:pPr>
        <w:rPr>
          <w:bCs/>
        </w:rPr>
      </w:pPr>
    </w:p>
    <w:p>
      <w:pPr>
        <w:rPr>
          <w:b/>
          <w:sz w:val="24"/>
          <w:szCs w:val="24"/>
        </w:rPr>
      </w:pPr>
      <w:r>
        <w:rPr>
          <w:b/>
          <w:sz w:val="24"/>
          <w:szCs w:val="24"/>
        </w:rPr>
        <w:t>Based on the Business Activity table above, what are the major employment sectors within your jurisdiction?</w:t>
      </w:r>
    </w:p>
    <w:p>
      <w:pPr>
        <w:spacing w:beforeAutospacing="true" w:afterAutospacing="true"/>
        <w:rPr>
          <w:rFonts w:cs="Arial"/>
        </w:rPr>
      </w:pPr>
      <w:r>
        <w:rPr>
          <w:rFonts w:cs="Arial"/>
          <w:i/>
        </w:rPr>
        <w:t xml:space="preserve">Employment Base – </w:t>
      </w:r>
      <w:r>
        <w:rPr>
          <w:rFonts w:cs="Arial"/>
        </w:rPr>
        <w:t xml:space="preserve">Salt Lake County's employment base had a total of 435,424 jobs (excluding Salt Lake City) in 2018.  Salt Lake County (excluding Salt Lake County) accounts for nearly 30% of all jobs in the state. The largest employment sectors are: retail trade with over 85,000 jobs, followed by professional and business services with 77,700 jobs and health care 55,000. The local economy is primarily a service based economy supported by rapid demographic growth.</w:t>
      </w:r>
    </w:p>
    <w:p>
      <w:pPr>
        <w:spacing w:beforeAutospacing="true" w:afterAutospacing="true"/>
        <w:rPr>
          <w:rFonts w:cs="Arial"/>
        </w:rPr>
      </w:pPr>
      <w:r>
        <w:rPr>
          <w:rFonts w:cs="Arial"/>
          <w:i/>
        </w:rPr>
        <w:t xml:space="preserve">Growth Sectors – </w:t>
      </w:r>
      <w:r>
        <w:rPr>
          <w:rFonts w:cs="Arial"/>
        </w:rPr>
        <w:t xml:space="preserve">Professional and business services has been the fastest growing major sector with an annual employment growth rate of 5.3% since 2010.  The professional and business services sector has a wide-range of occupations including janitorial staff, administrative staff, and professional staff (lawyers, accountants, engineers, etc.). The second and third ranks sectors in terms of rate of growth are financial activities and health care. Manufacturing employment has not grown much in the past since 2010; an increase of only 4,150 jobs in eight years for an annual rate of increase of 1.8%.</w:t>
      </w:r>
    </w:p>
    <w:p>
      <w:pPr>
        <w:spacing w:beforeAutospacing="true" w:afterAutospacing="true"/>
        <w:rPr>
          <w:rFonts w:cs="Arial"/>
        </w:rPr>
      </w:pPr>
      <w:r>
        <w:rPr>
          <w:rFonts w:cs="Arial"/>
        </w:rPr>
        <w:t xml:space="preserve"> </w:t>
      </w:r>
    </w:p>
    <w:p>
      <w:pPr>
        <w:spacing w:beforeAutospacing="true" w:afterAutospacing="true"/>
        <w:rPr>
          <w:rFonts w:cs="Arial"/>
        </w:rPr>
      </w:pPr>
      <w:r>
        <w:rPr>
          <w:rFonts w:cs="Arial"/>
          <w:i/>
        </w:rPr>
        <w:t xml:space="preserve">Major Employers – </w:t>
      </w:r>
      <w:r>
        <w:rPr>
          <w:rFonts w:cs="Arial"/>
        </w:rPr>
        <w:t xml:space="preserve">The major employers in Salt Lake County (excluding Salt Lake City) are providers of health care services, educational services, and retail. Intermountain Health Care (17,500 jobs) is the largest employer in Salt Lake County, followed by the Granite School District (8,500 jobs), Jordan School District (6,000 jobs) Wal-Mart (6,000 jobs) and Smith’s Food and Drug (4,500 jobs). </w:t>
      </w:r>
    </w:p>
    <w:p>
      <w:pPr>
        <w:spacing w:beforeAutospacing="true" w:afterAutospacing="true"/>
        <w:rPr>
          <w:rFonts w:cs="Arial"/>
        </w:rPr>
      </w:pPr>
      <w:r>
        <w:rPr>
          <w:rFonts w:cs="Arial"/>
        </w:rPr>
        <w:t xml:space="preserve"> </w:t>
      </w:r>
    </w:p>
    <w:p>
      <w:pPr>
        <w:spacing w:beforeAutospacing="true" w:afterAutospacing="true"/>
        <w:rPr>
          <w:rFonts w:cs="Arial"/>
        </w:rPr>
      </w:pPr>
      <w:r>
        <w:rPr>
          <w:rFonts w:cs="Arial"/>
          <w:i/>
        </w:rPr>
        <w:t xml:space="preserve">Wages</w:t>
      </w:r>
      <w:r>
        <w:rPr>
          <w:rFonts w:cs="Arial"/>
        </w:rPr>
        <w:t xml:space="preserve"> - Salt Lake County is a high wage county.  The average wage is $54,156, fourteen percent above the state average wage</w:t>
      </w:r>
      <w:r>
        <w:rPr>
          <w:rFonts w:cs="Arial"/>
          <w:i/>
        </w:rPr>
        <w:t xml:space="preserve">.</w:t>
      </w:r>
      <w:r>
        <w:rPr>
          <w:rFonts w:cs="Arial"/>
        </w:rPr>
        <w:t xml:space="preserve">  The highest wage sector is utilities with an average wage of $111,000.  Other high wage sectors are management companies (average wage $91,656), professional and scientific services ($80,880), and finance activities ($79,092).</w:t>
      </w:r>
    </w:p>
    <w:p>
      <w:pPr>
        <w:spacing w:beforeAutospacing="true" w:afterAutospacing="true"/>
        <w:rPr>
          <w:rFonts w:cs="Arial"/>
        </w:rPr>
      </w:pPr>
    </w:p>
    <w:p>
      <w:pPr>
        <w:rPr>
          <w:b/>
          <w:sz w:val="24"/>
          <w:szCs w:val="24"/>
        </w:rPr>
      </w:pPr>
      <w:r>
        <w:rPr>
          <w:b/>
          <w:sz w:val="24"/>
          <w:szCs w:val="24"/>
        </w:rPr>
        <w:t>Describe the workforce and infrastructure needs of the business community:</w:t>
      </w:r>
    </w:p>
    <w:p>
      <w:pPr>
        <w:spacing w:beforeAutospacing="true" w:afterAutospacing="true"/>
        <w:rPr>
          <w:rFonts w:cs="Arial"/>
        </w:rPr>
      </w:pPr>
      <w:r>
        <w:rPr>
          <w:rFonts w:cs="Arial"/>
          <w:i/>
        </w:rPr>
        <w:t xml:space="preserve">Employment Change and Unemployment –</w:t>
      </w:r>
      <w:r>
        <w:rPr>
          <w:rFonts w:cs="Arial"/>
        </w:rPr>
        <w:t xml:space="preserve"> Since the Great Recession ended in 2011, Salt Lake County has had eight solid years of gains.  In 2018 the number of jobs in Salt Lake County reached 435,424. The most recent annual unemployment rate for Salt Lake County is 3.0 percent for 2018</w:t>
      </w:r>
      <w:r>
        <w:rPr>
          <w:rFonts w:cs="Arial"/>
          <w:i/>
        </w:rPr>
        <w:t xml:space="preserve">.</w:t>
      </w:r>
      <w:r>
        <w:rPr>
          <w:rFonts w:cs="Arial"/>
        </w:rPr>
        <w:t xml:space="preserve">  In December of 2019, the unemployment rate was 2.2 percent.  The unemployment rate is the lowest in 70 years.  The local labor shortage has persisted for the last few years.  The sector most affected by the labor shortage are construction, retail trade, and accommodations and food services. The very strong local job market has produced the rising demand for housing, both owner and renter-occupied housing. The full impact of the COVID 19 is not known right now. we had a very strong economy and then over 80,000 lost their jobs because of COVID 19. </w:t>
      </w:r>
    </w:p>
    <w:p>
      <w:pPr>
        <w:spacing w:beforeAutospacing="true" w:afterAutospacing="true"/>
        <w:rPr>
          <w:rFonts w:cs="Arial"/>
        </w:rPr>
      </w:pPr>
    </w:p>
    <w:p>
      <w:pPr>
        <w:rPr>
          <w:b/>
          <w:sz w:val="24"/>
          <w:szCs w:val="24"/>
        </w:rPr>
      </w:pPr>
      <w:r>
        <w:rPr>
          <w:b/>
          <w:sz w:val="24"/>
          <w:szCs w:val="24"/>
        </w:rPr>
        <w:t>Describe any major changes that may have an economic impact, such as planned local or regional public or private sector investments or initiatives that have affected or may affect job and business growth opportunities during the planning period. Describe any needs for workforce development, business support or infrastructure these changes may create.</w:t>
      </w:r>
    </w:p>
    <w:p>
      <w:pPr>
        <w:spacing w:beforeAutospacing="true" w:afterAutospacing="true"/>
        <w:rPr>
          <w:rFonts w:cs="Arial"/>
        </w:rPr>
      </w:pPr>
      <w:r>
        <w:rPr>
          <w:rFonts w:cs="Arial"/>
        </w:rPr>
        <w:t xml:space="preserve">The up-coming completion of the Redevelopment of the Salt Lake International Airport will give a long-term boost to economic activity in Salt Lake County.  This $3.7 billion, 8-year project has been one of the largest nonresidential construction projects in the U.S.  In addition to the completion of the Salt Lake International Airport. Another large project is in the early stages of pre-development, the Salt Lake Inland Port.  Sixteen thousand acres, in Salt Lake City's northwest quadrant, have been designated as the jurisdictional boundaries of the Inland Port by the Utah State Legislature.  The Inland Port is billed as the largest economic development project in Utah's history.  Both the Redevelopment of the Salt Lake International Airport and the Inland Port are located in Salt Lake City but, their economic impacts will be felt throughout Salt Lake County.  These two projects are two of the largest development projects in the state’s history.</w:t>
      </w:r>
    </w:p>
    <w:p>
      <w:pPr>
        <w:spacing w:beforeAutospacing="true" w:afterAutospacing="true"/>
        <w:rPr>
          <w:rFonts w:cs="Arial"/>
        </w:rPr>
      </w:pPr>
      <w:r>
        <w:rPr>
          <w:rFonts w:cs="Arial"/>
        </w:rPr>
        <w:t xml:space="preserve">The completion of the new Utah State Prison and transfer of inmates in June 2022 will free-up over 600 acres of state owned land in Salt Lake County.  This large parcel of land, which is adjacent to I-15 and located in the heart of Utah’s Silicon Slopes, will become a mixed used development to include high tech companies, office parks, residential communities, and recreational sites.  The development of this 600 acres plus the surrounding property will be the location of intensive residential and commercial development from 2022 to 2030.  This development will put additional pressure on surface transportation in the southern end of Salt Lake County.  Alleviating congestion in the portion of Salt Lake County with improved infrastructure will be a high priority in the coming decade.</w:t>
      </w:r>
    </w:p>
    <w:p>
      <w:pPr>
        <w:rPr>
          <w:b/>
          <w:sz w:val="24"/>
          <w:szCs w:val="24"/>
        </w:rPr>
      </w:pPr>
      <w:r>
        <w:rPr>
          <w:b/>
          <w:sz w:val="24"/>
          <w:szCs w:val="24"/>
        </w:rPr>
        <w:t>How do the skills and education of the current workforce correspond to employment opportunities in the jurisdiction?</w:t>
      </w:r>
    </w:p>
    <w:p>
      <w:pPr>
        <w:spacing w:beforeAutospacing="true" w:afterAutospacing="true"/>
        <w:rPr>
          <w:rFonts w:cs="Arial"/>
        </w:rPr>
      </w:pPr>
      <w:r>
        <w:rPr>
          <w:rFonts w:cs="Arial"/>
        </w:rPr>
        <w:t xml:space="preserve">Until COVID 19 hit , employers cite worker shortages overall, but particularly in construction, retail trade, accommodations and food services.  The unemployment rate in Salt Lake County is at an all-time low of 2.2%, an indication of the worker shortage. It has now shifted and large increase in unemployment, over the next few months the needs for training will become clearer.</w:t>
      </w:r>
    </w:p>
    <w:p>
      <w:pPr>
        <w:rPr>
          <w:b/>
          <w:sz w:val="24"/>
          <w:szCs w:val="24"/>
        </w:rPr>
      </w:pPr>
      <w:r>
        <w:rPr>
          <w:b/>
          <w:sz w:val="24"/>
          <w:szCs w:val="24"/>
        </w:rPr>
        <w:t>Describe any current workforce training initiatives, including those supported by Workforce Investment Boards, community colleges and other organizations. Describe how these efforts will support the jurisdiction's Consolidated Plan.</w:t>
      </w:r>
    </w:p>
    <w:p>
      <w:pPr>
        <w:spacing w:beforeAutospacing="true" w:afterAutospacing="true"/>
        <w:rPr>
          <w:rFonts w:cs="Arial"/>
        </w:rPr>
      </w:pPr>
      <w:r>
        <w:rPr>
          <w:rFonts w:cs="Arial"/>
        </w:rPr>
        <w:t xml:space="preserve">Utah Department of Workforce Service (DWS) is the key referral and support center for training and job openings.  Salt Lake County works closely with the DWS offices located in Salt Lake County.  DWS provides funding and support for affordable housing development (Olene Walker Loan Fund) and SSDI and SNAP support for homelessness as well as income-qualified individuals.</w:t>
      </w:r>
    </w:p>
    <w:p>
      <w:pPr>
        <w:spacing w:beforeAutospacing="true" w:afterAutospacing="true"/>
        <w:rPr>
          <w:rFonts w:cs="Arial"/>
        </w:rPr>
      </w:pPr>
      <w:r>
        <w:rPr>
          <w:rFonts w:cs="Arial"/>
        </w:rPr>
        <w:t xml:space="preserve">The COVID-19 pandemic will likely cause a loss of about 80,000 jobs in Salt Lake County (excluding Salt Lake City).  The state’s recovery plan, Utah Leads Together 3.0, released in May 2020, calls for funding of retraining programs for some of those workers impacted by COVID-19</w:t>
      </w:r>
    </w:p>
    <w:p>
      <w:pPr>
        <w:rPr>
          <w:b/>
          <w:sz w:val="24"/>
          <w:szCs w:val="24"/>
        </w:rPr>
      </w:pPr>
      <w:r>
        <w:rPr>
          <w:b/>
          <w:sz w:val="24"/>
          <w:szCs w:val="24"/>
        </w:rPr>
        <w:t>Does your jurisdiction participate in a Comprehensive Economic Development Strategy (CEDS)?</w:t>
      </w:r>
    </w:p>
    <w:p>
      <w:pPr>
        <w:spacing w:beforeAutospacing="true" w:afterAutospacing="true"/>
        <w:rPr>
          <w:rFonts w:cs="Arial"/>
        </w:rPr>
      </w:pPr>
      <w:r>
        <w:rPr>
          <w:rFonts w:cs="Arial"/>
        </w:rPr>
        <w:t xml:space="preserve">No</w:t>
      </w:r>
    </w:p>
    <w:p>
      <w:pPr>
        <w:rPr>
          <w:b/>
          <w:sz w:val="24"/>
          <w:szCs w:val="24"/>
        </w:rPr>
      </w:pPr>
      <w:r>
        <w:rPr>
          <w:b/>
          <w:sz w:val="24"/>
          <w:szCs w:val="24"/>
        </w:rPr>
        <w:t>If so, what economic development initiatives are you undertaking that may be coordinated with the Consolidated Plan? If not, describe other local/regional plans or initiatives that impact economic growth.</w:t>
      </w:r>
    </w:p>
    <w:p>
      <w:pPr>
        <w:spacing w:beforeAutospacing="true" w:afterAutospacing="true"/>
        <w:rPr>
          <w:rFonts w:cs="Arial"/>
        </w:rPr>
      </w:pPr>
      <w:r>
        <w:rPr>
          <w:rFonts w:cs="Arial"/>
        </w:rPr>
        <w:t xml:space="preserve">in response to the impact of COVID 19, Salt Lake County is working with Salt Lake City and the State of Utah to develop a plan to help businessess and indi</w:t>
      </w:r>
      <w:r>
        <w:rPr>
          <w:rFonts w:cs="Arial"/>
        </w:rPr>
        <w:t xml:space="preserve">viduals, work thourgh this crisis.</w:t>
      </w:r>
    </w:p>
    <w:p>
      <w:pPr>
        <w:spacing w:line="204" w:lineRule="auto"/>
        <w:rPr>
          <w:b/>
          <w:sz w:val="24"/>
          <w:szCs w:val="24"/>
        </w:rPr>
      </w:pPr>
      <w:r>
        <w:rPr>
          <w:b/>
          <w:sz w:val="24"/>
          <w:szCs w:val="24"/>
        </w:rPr>
        <w:t>Discussion</w:t>
      </w:r>
    </w:p>
    <w:p>
      <w:pPr>
        <w:spacing w:beforeAutospacing="true" w:afterAutospacing="true"/>
        <w:rPr>
          <w:rFonts w:cs="Arial"/>
        </w:rPr>
      </w:pPr>
      <w:r>
        <w:rPr>
          <w:rFonts w:cs="Arial"/>
        </w:rPr>
        <w:t xml:space="preserve">Before COVID 19 hit Utah's economy was one of the strongest in the country with one of the lowest unemployment rates. We expect with in the next year there will be a subtantial improvement from where we are at right now. There will a large number of small businesses who willcease to exist along with their jobs. It is unknown how long this will last.</w:t>
      </w:r>
    </w:p>
    <w:p>
      <w:pPr>
        <w:spacing w:line="204" w:lineRule="auto"/>
        <w:rPr>
          <w:rFonts w:cs="Arial"/>
        </w:rPr>
      </w:pPr>
    </w:p>
    <w:p>
      <w:pPr>
        <w:spacing w:line="204" w:lineRule="auto"/>
        <w:rPr>
          <w:rFonts w:cs="Arial"/>
        </w:rPr>
      </w:pPr>
    </w:p>
    <w:p>
      <w:pPr>
        <w:pStyle w:val="Heading2"/>
        <w:pageBreakBefore/>
        <w:rPr>
          <w:rFonts w:ascii="Calibri" w:hAnsi="Calibri"/>
          <w:i w:val="false"/>
        </w:rPr>
        <w:sectPr>
          <w:pgSz w:w="15840" w:h="12240" w:orient="landscape"/>
          <w:pgMar w:top="1440" w:right="1440" w:bottom="1440" w:left="1440" w:header="720" w:footer="720" w:gutter="0"/>
          <w:cols w:space="720"/>
          <w:docGrid w:linePitch="360"/>
        </w:sectPr>
      </w:pPr>
    </w:p>
    <w:p>
      <w:pPr>
        <w:pStyle w:val="Heading2"/>
        <w:pageBreakBefore/>
        <w:rPr>
          <w:rFonts w:ascii="Calibri" w:hAnsi="Calibri"/>
          <w:i w:val="false"/>
        </w:rPr>
      </w:pPr>
      <w:r>
        <w:rPr>
          <w:rFonts w:ascii="Calibri" w:hAnsi="Calibri"/>
          <w:i w:val="false"/>
        </w:rPr>
        <w:t xml:space="preserve">MA-50 Needs and Market Analysis Discussion </w:t>
      </w:r>
    </w:p>
    <w:p>
      <w:pPr>
        <w:rPr>
          <w:b/>
          <w:sz w:val="24"/>
          <w:szCs w:val="24"/>
        </w:rPr>
      </w:pPr>
      <w:r>
        <w:rPr>
          <w:b/>
          <w:sz w:val="24"/>
          <w:szCs w:val="24"/>
        </w:rPr>
        <w:t>Are there areas where households with multiple housing problems are concentrated? (include a definition of "concentration")</w:t>
      </w:r>
    </w:p>
    <w:p>
      <w:pPr>
        <w:spacing w:beforeAutospacing="true" w:afterAutospacing="true"/>
        <w:rPr>
          <w:rFonts w:cs="Arial"/>
        </w:rPr>
      </w:pPr>
      <w:r>
        <w:rPr>
          <w:rFonts w:cs="Arial"/>
        </w:rPr>
        <w:t xml:space="preserve">Yes, very low and extremely low-income minority housing are disproportionately affected by housing problems.  The incidence of poverty for minority households is about three times as high for the minority population as it is for the non-Hispanic white population; 18% compared to 6%.  Poverty and extremely low income inevitably lead to high-cost burdens, the most common housing problem.</w:t>
      </w:r>
    </w:p>
    <w:p>
      <w:pPr>
        <w:spacing w:beforeAutospacing="true" w:afterAutospacing="true"/>
        <w:rPr>
          <w:rFonts w:cs="Arial"/>
        </w:rPr>
      </w:pPr>
    </w:p>
    <w:p>
      <w:pPr>
        <w:rPr>
          <w:b/>
          <w:sz w:val="24"/>
          <w:szCs w:val="24"/>
        </w:rPr>
      </w:pPr>
      <w:r>
        <w:rPr>
          <w:b/>
          <w:sz w:val="24"/>
          <w:szCs w:val="24"/>
        </w:rPr>
        <w:t>Are there any areas in the jurisdiction where racial or ethnic minorities or low-income families are concentrated? (include a definition of "concentration")</w:t>
      </w:r>
    </w:p>
    <w:p>
      <w:pPr>
        <w:spacing w:beforeAutospacing="true" w:afterAutospacing="true"/>
        <w:rPr>
          <w:rFonts w:cs="Arial"/>
        </w:rPr>
      </w:pPr>
      <w:r>
        <w:rPr>
          <w:rFonts w:cs="Arial"/>
        </w:rPr>
        <w:t xml:space="preserve">Yes, the minority and very low to extremely low-income households in Salt Lake County are concentrated in six jurisdictions: Kearns, Magna, Midvale, South Salt Lake, Taylorsville, and West Valley.  These six areas account for 35% of the county’s population but have nearly 60% of the county's minority population.  Further evidence of the concentration of very low and extremely income households is the spatial distribution of Section 8 Housing Choice Vouchers.  Map 1 illustrates the concentration of these renters in the aforementioned cities.</w:t>
      </w:r>
    </w:p>
    <w:p>
      <w:pPr>
        <w:spacing w:beforeAutospacing="true" w:afterAutospacing="true"/>
        <w:rPr>
          <w:rFonts w:cs="Arial"/>
        </w:rPr>
      </w:pPr>
      <w:r>
        <w:rPr>
          <w:rFonts w:cs="Arial"/>
          <w:b/>
        </w:rPr>
        <w:t xml:space="preserve"> </w:t>
      </w:r>
    </w:p>
    <w:p>
      <w:pPr>
        <w:rPr>
          <w:b/>
          <w:sz w:val="24"/>
          <w:szCs w:val="24"/>
        </w:rPr>
      </w:pPr>
      <w:r>
        <w:rPr>
          <w:b/>
          <w:sz w:val="24"/>
          <w:szCs w:val="24"/>
        </w:rPr>
        <w:t>What are the characteristics of the market in these areas/neighborhoods?</w:t>
      </w:r>
    </w:p>
    <w:p>
      <w:pPr>
        <w:spacing w:beforeAutospacing="true" w:afterAutospacing="true"/>
        <w:rPr>
          <w:rFonts w:cs="Arial"/>
        </w:rPr>
      </w:pPr>
      <w:r>
        <w:rPr>
          <w:rFonts w:cs="Arial"/>
        </w:rPr>
        <w:t xml:space="preserve">The housing markets in these areas have a disproportionate share of rental units, Section 8 voucher holders, moderate price homes, older housing stock (both rental and owner), very low rental vacancy rates, scarcity of developable land and in some cases land locked, moderate to low income households, and housing prices increasing faster than the countywide rate of increase.</w:t>
      </w:r>
    </w:p>
    <w:p>
      <w:pPr>
        <w:spacing w:beforeAutospacing="true" w:afterAutospacing="true"/>
        <w:rPr>
          <w:rFonts w:cs="Arial"/>
        </w:rPr>
      </w:pPr>
      <w:r>
        <w:rPr>
          <w:rFonts w:cs="Arial"/>
          <w:b/>
        </w:rPr>
        <w:t xml:space="preserve"> </w:t>
      </w:r>
    </w:p>
    <w:p>
      <w:pPr>
        <w:rPr>
          <w:b/>
          <w:sz w:val="24"/>
          <w:szCs w:val="24"/>
        </w:rPr>
      </w:pPr>
      <w:r>
        <w:rPr>
          <w:b/>
          <w:sz w:val="24"/>
          <w:szCs w:val="24"/>
        </w:rPr>
        <w:t>Are there any community assets in these areas/neighborhoods?</w:t>
      </w:r>
    </w:p>
    <w:p>
      <w:pPr>
        <w:spacing w:beforeAutospacing="true" w:afterAutospacing="true"/>
        <w:rPr>
          <w:rFonts w:cs="Arial"/>
        </w:rPr>
      </w:pPr>
      <w:r>
        <w:rPr>
          <w:rFonts w:cs="Arial"/>
        </w:rPr>
        <w:t xml:space="preserve">While most of these cities have adequate access to public transportation, proximity to sizeable labor markets and in some cases well developed recreational facilities, they are, by and large, low opportunity cities in terms of access to health care, quality public education, educational attainment of residents, poverty rates, and homeownership rates.  The attached map shows the low to high opportunity census tracts in Salt Lake County.  The seven cities discussed above are low opportunity cities.  See attached Map 2.</w:t>
      </w:r>
    </w:p>
    <w:p>
      <w:pPr>
        <w:spacing w:beforeAutospacing="true" w:afterAutospacing="true"/>
        <w:rPr>
          <w:rFonts w:cs="Arial"/>
        </w:rPr>
      </w:pPr>
      <w:r>
        <w:rPr>
          <w:rFonts w:cs="Arial"/>
        </w:rPr>
        <w:t xml:space="preserve">Salt Lake County, West Valley City and South Salt Lake all have active efforts to bring assets into these neighborhoods.</w:t>
      </w:r>
    </w:p>
    <w:p>
      <w:pPr>
        <w:rPr>
          <w:b/>
          <w:sz w:val="24"/>
          <w:szCs w:val="24"/>
        </w:rPr>
      </w:pPr>
      <w:r>
        <w:rPr>
          <w:b/>
          <w:sz w:val="24"/>
          <w:szCs w:val="24"/>
        </w:rPr>
        <w:t>Are there other strategic opportunities in any of these areas?</w:t>
      </w:r>
    </w:p>
    <w:p>
      <w:pPr>
        <w:spacing w:beforeAutospacing="true" w:afterAutospacing="true"/>
        <w:rPr>
          <w:rFonts w:cs="Arial"/>
        </w:rPr>
      </w:pPr>
      <w:r>
        <w:rPr>
          <w:rFonts w:cs="Arial"/>
        </w:rPr>
        <w:t xml:space="preserve">There are strategic needs for these communities; more day care centers, higher quality grocery stores, collaboration with public schools to provide community service as wells as health care services, student mentoring, and language classes for Hispanic population.</w:t>
      </w:r>
    </w:p>
    <w:p>
      <w:pPr>
        <w:spacing w:beforeAutospacing="true" w:afterAutospacing="true"/>
        <w:rPr>
          <w:rFonts w:cs="Arial"/>
        </w:rPr>
      </w:pPr>
      <w:r>
        <w:rPr>
          <w:rFonts w:cs="Arial"/>
        </w:rPr>
        <w:t xml:space="preserve"> </w:t>
      </w:r>
    </w:p>
    <w:p>
      <w:pPr>
        <w:spacing w:beforeAutospacing="true" w:afterAutospacing="true"/>
        <w:rPr>
          <w:rFonts w:cs="Arial"/>
        </w:rPr>
      </w:pPr>
      <w:r>
        <w:rPr>
          <w:rFonts w:cs="Arial"/>
        </w:rPr>
        <w:t xml:space="preserve">alt Lake County is actively supporting the revitalization of Kearns and Magna. Salt Lake County, South Salt Lake and West Valley City are both using the Idea House approach to neighborhood revitalization, the purchase and rehab of homes abandoned, and made an example of what can be done.</w:t>
      </w:r>
    </w:p>
    <w:p>
      <w:pPr>
        <w:rPr>
          <w:bCs/>
        </w:rPr>
      </w:pPr>
      <w:r>
        <w:rPr>
          <w:b/>
          <w:bCs/>
        </w:rPr>
        <w:drawing>
          <wp:inline distT="0" distB="0" distL="0" distR="0">
            <wp:extent cx="5943600" cy="4279392"/>
            <wp:effectExtent l="0" t="0" r="0" b="0"/>
            <wp:docPr id="0" name="" descr=""/>
            <wp:cNvGraphicFramePr>
              <a:graphicFrameLocks noChangeAspect="true"/>
            </wp:cNvGraphicFramePr>
            <a:graphic>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43600" cy="4279392"/>
                    </a:xfrm>
                    <a:prstGeom prst="rect">
                      <a:avLst/>
                    </a:prstGeom>
                  </pic:spPr>
                </pic:pic>
              </a:graphicData>
            </a:graphic>
          </wp:inline>
        </w:drawing>
        <w:br/>
        <w:t>Increase in concentration of minorities</w:t>
      </w:r>
    </w:p>
    <w:p>
      <w:pPr>
        <w:pStyle w:val="Heading2"/>
        <w:pageBreakBefore/>
        <w:rPr>
          <w:rFonts w:ascii="Calibri" w:hAnsi="Calibri"/>
          <w:i w:val="false"/>
        </w:rPr>
      </w:pPr>
      <w:r>
        <w:rPr>
          <w:rFonts w:ascii="Calibri" w:hAnsi="Calibri"/>
          <w:i w:val="false"/>
        </w:rPr>
        <w:t>MA-60 Broadband Needs of Housing occupied by Low- and Moderate-Income Households - 91.210(a)(4), 91.310(a)(2)</w:t>
        <w:br/>
      </w:r>
    </w:p>
    <w:p>
      <w:pPr>
        <w:rPr>
          <w:b/>
          <w:sz w:val="24"/>
          <w:szCs w:val="24"/>
        </w:rPr>
      </w:pPr>
      <w:r>
        <w:rPr>
          <w:b/>
          <w:sz w:val="24"/>
          <w:szCs w:val="24"/>
        </w:rPr>
        <w:t>Describe the need for broadband wiring and connections for households, including low- and moderate-income households and neighborhoods.</w:t>
      </w:r>
    </w:p>
    <w:p>
      <w:pPr>
        <w:spacing w:beforeAutospacing="true" w:afterAutospacing="true"/>
        <w:rPr>
          <w:rFonts w:cs="Arial"/>
        </w:rPr>
      </w:pPr>
      <w:r>
        <w:rPr>
          <w:rFonts w:cs="Arial"/>
        </w:rPr>
        <w:t xml:space="preserve">Over 96% of all households in the Salt Lake Valley have access to broad band servcies. Many of low income households do not have high enough of the income to cover the cost of broadband service. </w:t>
      </w:r>
    </w:p>
    <w:p>
      <w:pPr>
        <w:spacing w:beforeAutospacing="true" w:afterAutospacing="true"/>
        <w:rPr>
          <w:rFonts w:cs="Arial"/>
        </w:rPr>
      </w:pPr>
      <w:r>
        <w:rPr>
          <w:rFonts w:cs="Arial"/>
        </w:rPr>
        <w:t xml:space="preserve">As often as possible the rehabilitation program will include improvements to the home to support the access to broad band servcies.</w:t>
      </w:r>
    </w:p>
    <w:p>
      <w:pPr>
        <w:rPr>
          <w:b/>
          <w:sz w:val="24"/>
          <w:szCs w:val="24"/>
        </w:rPr>
      </w:pPr>
      <w:r>
        <w:rPr>
          <w:b/>
          <w:sz w:val="24"/>
          <w:szCs w:val="24"/>
        </w:rPr>
        <w:t>Describe the need for increased competition by having more than one broadband Internet service provider serve the jurisdiction.</w:t>
      </w:r>
    </w:p>
    <w:p>
      <w:pPr>
        <w:spacing w:beforeAutospacing="true" w:afterAutospacing="true"/>
        <w:rPr>
          <w:rFonts w:cs="Arial"/>
        </w:rPr>
      </w:pPr>
      <w:r>
        <w:rPr>
          <w:rFonts w:cs="Arial"/>
        </w:rPr>
        <w:t xml:space="preserve">There are multiple broad band serices available, we have contacted several of them and will work help our clients to get access to these services</w:t>
      </w:r>
    </w:p>
    <w:p>
      <w:pPr>
        <w:spacing w:after="0" w:line="240" w:lineRule="auto"/>
        <w:rPr>
          <w:rFonts w:cs="Arial"/>
        </w:rPr>
      </w:pPr>
    </w:p>
    <w:p>
      <w:pPr>
        <w:spacing w:after="0" w:line="240" w:lineRule="auto"/>
        <w:rPr>
          <w:rFonts w:cs="Arial"/>
        </w:rPr>
      </w:pPr>
    </w:p>
    <w:p>
      <w:pPr>
        <w:pStyle w:val="Heading2"/>
        <w:pageBreakBefore/>
        <w:rPr>
          <w:rFonts w:ascii="Calibri" w:hAnsi="Calibri"/>
          <w:i w:val="false"/>
        </w:rPr>
      </w:pPr>
      <w:r>
        <w:rPr>
          <w:rFonts w:ascii="Calibri" w:hAnsi="Calibri"/>
          <w:i w:val="false"/>
        </w:rPr>
        <w:t>MA-65 Hazard Mitigation - 91.210(a)(5), 91.310(a)(3)</w:t>
        <w:br/>
      </w:r>
    </w:p>
    <w:p>
      <w:pPr>
        <w:rPr>
          <w:b/>
          <w:sz w:val="24"/>
          <w:szCs w:val="24"/>
        </w:rPr>
      </w:pPr>
      <w:r>
        <w:rPr>
          <w:b/>
          <w:sz w:val="24"/>
          <w:szCs w:val="24"/>
        </w:rPr>
        <w:t>Describe the jurisdiction’s increased natural hazard risks associated with climate change.</w:t>
      </w:r>
    </w:p>
    <w:p>
      <w:pPr>
        <w:spacing w:beforeAutospacing="true" w:afterAutospacing="true"/>
        <w:rPr>
          <w:rFonts w:cs="Arial"/>
        </w:rPr>
      </w:pPr>
      <w:r>
        <w:rPr>
          <w:rFonts w:cs="Arial"/>
        </w:rPr>
        <w:t xml:space="preserve">Salt Lake County often times has poor air quality. It can be very serious during the winter for those with any kind of respiratory issues, Salt Lake Ciounty is wokring with the University of Utah Office of Pediatrics to start a pilot project to fully assess the air quality inside and outside of the home for those with severe respiratory issues and mitigate the home as needed to improve the health outcome for the family members. HOME funds along with Lead and Healthy Homes funding will fund this critically needed project. </w:t>
      </w:r>
    </w:p>
    <w:p>
      <w:pPr>
        <w:rPr>
          <w:b/>
          <w:sz w:val="24"/>
          <w:szCs w:val="24"/>
        </w:rPr>
      </w:pPr>
      <w:r>
        <w:rPr>
          <w:b/>
          <w:sz w:val="24"/>
          <w:szCs w:val="24"/>
        </w:rPr>
        <w:t>Describe the vulnerability to these risks of housing occupied by low- and moderate-income households based on an analysis of data, findings, and methods.</w:t>
      </w:r>
    </w:p>
    <w:p>
      <w:pPr>
        <w:spacing w:beforeAutospacing="true" w:afterAutospacing="true"/>
        <w:rPr>
          <w:rFonts w:cs="Arial"/>
        </w:rPr>
      </w:pPr>
      <w:r>
        <w:rPr>
          <w:rFonts w:cs="Arial"/>
        </w:rPr>
        <w:t xml:space="preserve">Salt Lake County completes a full healthy homes and safety of each home assisted. For those with asthma the reduction of asthma triggers can create a safe haven for the household. We also complete a radon gas hazard assessment of each home assisted, this can help those with any type of respiratory issues included the COVID 19. The poor air quality</w:t>
      </w:r>
    </w:p>
    <w:p>
      <w:pPr>
        <w:rPr>
          <w:rFonts w:cs="Arial"/>
        </w:rPr>
      </w:pPr>
    </w:p>
    <w:p>
      <w:pPr>
        <w:keepNext/>
        <w:widowControl w:val="false"/>
        <w:rPr>
          <w:szCs w:val="26"/>
        </w:rPr>
      </w:pPr>
    </w:p>
    <w:p>
      <w:pPr>
        <w:keepNext/>
        <w:widowControl w:val="false"/>
        <w:rPr>
          <w:szCs w:val="26"/>
        </w:rPr>
      </w:pPr>
    </w:p>
    <w:p>
      <w:pPr>
        <w:keepNext/>
        <w:widowControl w:val="false"/>
        <w:rPr>
          <w:szCs w:val="26"/>
        </w:rPr>
      </w:pPr>
    </w:p>
    <w:p>
      <w:pPr>
        <w:keepNext/>
        <w:widowControl w:val="false"/>
        <w:rPr>
          <w:szCs w:val="26"/>
        </w:rPr>
      </w:pPr>
    </w:p>
    <w:p>
      <w:pPr>
        <w:keepNext/>
        <w:widowControl w:val="false"/>
        <w:rPr>
          <w:szCs w:val="26"/>
        </w:rPr>
      </w:pPr>
    </w:p>
    <w:p>
      <w:pPr>
        <w:keepNext/>
        <w:widowControl w:val="false"/>
        <w:rPr>
          <w:szCs w:val="26"/>
        </w:rPr>
      </w:pPr>
    </w:p>
    <w:p>
      <w:pPr>
        <w:keepNext/>
        <w:widowControl w:val="false"/>
        <w:rPr>
          <w:szCs w:val="26"/>
        </w:rPr>
      </w:pPr>
    </w:p>
    <w:p>
      <w:pPr>
        <w:keepNext/>
        <w:widowControl w:val="false"/>
        <w:rPr>
          <w:szCs w:val="26"/>
        </w:rPr>
      </w:pPr>
    </w:p>
    <w:p>
      <w:pPr>
        <w:keepNext/>
        <w:widowControl w:val="false"/>
        <w:rPr>
          <w:szCs w:val="26"/>
        </w:rPr>
      </w:pPr>
    </w:p>
    <w:p>
      <w:pPr>
        <w:keepNext/>
        <w:widowControl w:val="false"/>
        <w:rPr>
          <w:szCs w:val="26"/>
        </w:rPr>
      </w:pPr>
    </w:p>
    <w:p>
      <w:pPr>
        <w:keepNext/>
        <w:widowControl w:val="false"/>
        <w:rPr>
          <w:szCs w:val="26"/>
        </w:rPr>
        <w:sectPr>
          <w:pgSz w:w="12240" w:h="15840"/>
          <w:pgMar w:top="1440" w:right="1440" w:bottom="1440" w:left="1440" w:header="720" w:footer="720" w:gutter="0"/>
          <w:cols w:space="720"/>
          <w:docGrid w:linePitch="360"/>
        </w:sectPr>
      </w:pPr>
    </w:p>
    <w:p>
      <w:pPr>
        <w:pStyle w:val="Heading1"/>
        <w:pageBreakBefore/>
        <w:jc w:val="center"/>
        <w:rPr>
          <w:rFonts w:ascii="Calibri" w:hAnsi="Calibri"/>
          <w:color w:val="auto"/>
          <w:sz w:val="32"/>
          <w:szCs w:val="32"/>
        </w:rPr>
      </w:pPr>
      <w:r>
        <w:rPr>
          <w:rFonts w:ascii="Calibri" w:hAnsi="Calibri"/>
          <w:color w:val="auto"/>
          <w:sz w:val="32"/>
          <w:szCs w:val="32"/>
        </w:rPr>
        <w:t>Strategic Plan</w:t>
      </w:r>
    </w:p>
    <w:p>
      <w:pPr>
        <w:pStyle w:val="Heading2"/>
        <w:rPr>
          <w:rFonts w:ascii="Calibri" w:hAnsi="Calibri"/>
          <w:i w:val="false"/>
        </w:rPr>
      </w:pPr>
      <w:r>
        <w:rPr>
          <w:rFonts w:ascii="Calibri" w:hAnsi="Calibri"/>
          <w:i w:val="false"/>
        </w:rPr>
        <w:t>SP-05 Overview</w:t>
      </w:r>
    </w:p>
    <w:p>
      <w:pPr>
        <w:rPr>
          <w:b/>
          <w:sz w:val="24"/>
          <w:szCs w:val="24"/>
        </w:rPr>
      </w:pPr>
      <w:r>
        <w:rPr>
          <w:b/>
          <w:sz w:val="24"/>
          <w:szCs w:val="24"/>
        </w:rPr>
        <w:t>Strategic Plan Overview</w:t>
      </w:r>
    </w:p>
    <w:p>
      <w:pPr>
        <w:spacing w:beforeAutospacing="true" w:afterAutospacing="true"/>
        <w:rPr>
          <w:rFonts w:cs="Arial"/>
        </w:rPr>
      </w:pPr>
      <w:r>
        <w:rPr>
          <w:rFonts w:cs="Arial"/>
        </w:rPr>
        <w:t xml:space="preserve">The elements of Salt Lake County’s 2020-2024 Strategic Plan have been developed after an extensive public engagement and needs assessment process that used multiple efforts to reach out and receive input from the community.  This effort began with a literature review of fifteen major reports completed within the last two years.  The information from those reports were categorized into seven areas of identified needs.   This helped inform the development of a community survey completed by over 1,800 country residents.  They reaffirmed the needs from the literature review and provided a prioritization of need.  Supplementing the community engagement and needs assessment work were three other assessments.  First was a housing needs assessment ad and analysis conducted by the University of Utah, Kem Gardner Center of the housing conditions within Salt Lake County excluding Salt Lake City.  Second was an analysis of public housing needs by Housing Connect, the Housing Authority within Salt Lake County.  Finally, the Continuum of Care (CoC) for Salt Lake County was asked to weigh in on the needs of those who are homeless.  Each analysis indicated what existed, what are the gaps in service and recommendations of what should be done.</w:t>
      </w:r>
    </w:p>
    <w:p>
      <w:pPr>
        <w:spacing w:beforeAutospacing="true" w:afterAutospacing="true"/>
        <w:rPr>
          <w:rFonts w:cs="Arial"/>
        </w:rPr>
      </w:pPr>
      <w:r>
        <w:rPr>
          <w:rFonts w:cs="Arial"/>
        </w:rPr>
        <w:t xml:space="preserve">The need for immediate housing assistance has been exacerbated with the COVID 19 pandemic.  Salt Lake County has not been immune.  Thousands of residents   have lost their jobs.  Many of these worked in the service industry where wages are low.  Given rising housing rental costs, maintaining housing is a real challenge.  Current HOME funding and funding from the CARES Act will be used to immediately provide rental assistance.  In conjunction with the need for rental assistance is appropriate supportive services. Beyond the needs for a variety of housing services were recommendations for infrastructure and public facility improvements in the community.</w:t>
      </w:r>
    </w:p>
    <w:p>
      <w:pPr>
        <w:spacing w:beforeAutospacing="true" w:afterAutospacing="true"/>
        <w:rPr>
          <w:rFonts w:cs="Arial"/>
        </w:rPr>
      </w:pPr>
    </w:p>
    <w:p>
      <w:pPr>
        <w:spacing w:beforeAutospacing="true" w:afterAutospacing="true"/>
        <w:rPr>
          <w:rFonts w:cs="Arial"/>
        </w:rPr>
      </w:pPr>
      <w:r>
        <w:rPr>
          <w:rFonts w:cs="Arial"/>
        </w:rPr>
        <w:t xml:space="preserve">The Strategic goals in the County’s conso</w:t>
      </w:r>
      <w:r>
        <w:rPr>
          <w:rFonts w:cs="Arial"/>
        </w:rPr>
        <w:t xml:space="preserve">lidated plan for 2020-2024 will focus funding on the following:</w:t>
      </w:r>
    </w:p>
    <w:p>
      <w:pPr>
        <w:spacing w:beforeAutospacing="true" w:afterAutospacing="true"/>
        <w:rPr>
          <w:rFonts w:cs="Arial"/>
        </w:rPr>
      </w:pPr>
      <w:r>
        <w:rPr>
          <w:rFonts w:cs="Arial"/>
        </w:rPr>
        <w:t xml:space="preserve"> </w:t>
      </w:r>
    </w:p>
    <w:p>
      <w:pPr>
        <w:spacing w:beforeAutospacing="true" w:afterAutospacing="true"/>
        <w:rPr>
          <w:rFonts w:cs="Arial"/>
        </w:rPr>
      </w:pPr>
      <w:r>
        <w:rPr>
          <w:rFonts w:cs="Arial"/>
        </w:rPr>
        <w:t xml:space="preserve">Housing:  Provide housing options for individuals and families that give opportunities to acquire, preserve, and improve housing.</w:t>
      </w:r>
    </w:p>
    <w:p>
      <w:pPr>
        <w:numPr>
          <w:ilvl w:val="0"/>
          <w:numId w:val="3"/>
        </w:numPr>
        <w:spacing w:beforeAutospacing="true" w:afterAutospacing="true"/>
        <w:rPr>
          <w:rFonts w:cs="Arial"/>
        </w:rPr>
      </w:pPr>
      <w:r>
        <w:rPr>
          <w:rFonts w:cs="Arial"/>
        </w:rPr>
        <w:t xml:space="preserve">Housing Rehabilitation:  Improving existing housing stock to preserve housing for targeted populations,</w:t>
      </w:r>
    </w:p>
    <w:p>
      <w:pPr>
        <w:numPr>
          <w:ilvl w:val="0"/>
          <w:numId w:val="3"/>
        </w:numPr>
        <w:spacing w:beforeAutospacing="true" w:afterAutospacing="true"/>
        <w:rPr>
          <w:rFonts w:cs="Arial"/>
        </w:rPr>
      </w:pPr>
      <w:r>
        <w:rPr>
          <w:rFonts w:cs="Arial"/>
        </w:rPr>
        <w:t xml:space="preserve">Rental Housing:  Affordable housing development that increases the number of housing units for eligible individuals and families.</w:t>
      </w:r>
    </w:p>
    <w:p>
      <w:pPr>
        <w:numPr>
          <w:ilvl w:val="0"/>
          <w:numId w:val="3"/>
        </w:numPr>
        <w:spacing w:beforeAutospacing="true" w:afterAutospacing="true"/>
        <w:rPr>
          <w:rFonts w:cs="Arial"/>
        </w:rPr>
      </w:pPr>
      <w:r>
        <w:rPr>
          <w:rFonts w:cs="Arial"/>
        </w:rPr>
        <w:t xml:space="preserve">Homeownership:  Financial opportunities for individuals and families to access homeownership.</w:t>
      </w:r>
    </w:p>
    <w:p>
      <w:pPr>
        <w:numPr>
          <w:ilvl w:val="0"/>
          <w:numId w:val="3"/>
        </w:numPr>
        <w:spacing w:beforeAutospacing="true" w:afterAutospacing="true"/>
        <w:rPr>
          <w:rFonts w:cs="Arial"/>
        </w:rPr>
      </w:pPr>
      <w:r>
        <w:rPr>
          <w:rFonts w:cs="Arial"/>
        </w:rPr>
        <w:t xml:space="preserve">Rental Assistance:  Temporary financial assistance with supportive services focused on housing stability.</w:t>
      </w:r>
    </w:p>
    <w:p>
      <w:pPr>
        <w:spacing w:beforeAutospacing="true" w:afterAutospacing="true"/>
        <w:rPr>
          <w:rFonts w:cs="Arial"/>
        </w:rPr>
      </w:pPr>
      <w:r>
        <w:rPr>
          <w:rFonts w:cs="Arial"/>
        </w:rPr>
        <w:t xml:space="preserve">Neighborhood/Community Improvements:  Provide improvements to increase the safety, livability, and functionality.</w:t>
      </w:r>
    </w:p>
    <w:p>
      <w:pPr>
        <w:numPr>
          <w:ilvl w:val="0"/>
          <w:numId w:val="3"/>
        </w:numPr>
        <w:spacing w:beforeAutospacing="true" w:afterAutospacing="true"/>
        <w:rPr>
          <w:rFonts w:cs="Arial"/>
        </w:rPr>
      </w:pPr>
      <w:r>
        <w:rPr>
          <w:rFonts w:cs="Arial"/>
        </w:rPr>
        <w:t xml:space="preserve">Infrastructure:  Improvements to streets, sidewalks, lighting, and water systems to increase safety, health and livability.</w:t>
      </w:r>
    </w:p>
    <w:p>
      <w:pPr>
        <w:numPr>
          <w:ilvl w:val="0"/>
          <w:numId w:val="3"/>
        </w:numPr>
        <w:spacing w:beforeAutospacing="true" w:afterAutospacing="true"/>
        <w:rPr>
          <w:rFonts w:cs="Arial"/>
        </w:rPr>
      </w:pPr>
      <w:r>
        <w:rPr>
          <w:rFonts w:cs="Arial"/>
        </w:rPr>
        <w:t xml:space="preserve">Public Facilities:  Improvement to parks, senior citizen centers, public and private facilities to increase safety, health, and usability.</w:t>
      </w:r>
    </w:p>
    <w:p>
      <w:pPr>
        <w:spacing w:beforeAutospacing="true" w:afterAutospacing="true"/>
        <w:rPr>
          <w:rFonts w:cs="Arial"/>
        </w:rPr>
      </w:pPr>
      <w:r>
        <w:rPr>
          <w:rFonts w:cs="Arial"/>
        </w:rPr>
        <w:t xml:space="preserve">Crisis Services: Provide access to emergency services for low income and vulnerable populations experiencing crisis.</w:t>
      </w:r>
    </w:p>
    <w:p>
      <w:pPr>
        <w:numPr>
          <w:ilvl w:val="0"/>
          <w:numId w:val="3"/>
        </w:numPr>
        <w:spacing w:beforeAutospacing="true" w:afterAutospacing="true"/>
        <w:rPr>
          <w:rFonts w:cs="Arial"/>
        </w:rPr>
      </w:pPr>
      <w:r>
        <w:rPr>
          <w:rFonts w:cs="Arial"/>
        </w:rPr>
        <w:t xml:space="preserve">Provide support for low income and vulnerable populations in housing.</w:t>
      </w:r>
    </w:p>
    <w:p>
      <w:pPr>
        <w:numPr>
          <w:ilvl w:val="0"/>
          <w:numId w:val="3"/>
        </w:numPr>
        <w:spacing w:beforeAutospacing="true" w:afterAutospacing="true"/>
        <w:rPr>
          <w:rFonts w:cs="Arial"/>
        </w:rPr>
      </w:pPr>
      <w:r>
        <w:rPr>
          <w:rFonts w:cs="Arial"/>
        </w:rPr>
        <w:t xml:space="preserve">Provide support for low income and vulnerable populations who are at risk of losing their housing.</w:t>
      </w:r>
    </w:p>
    <w:p>
      <w:pPr>
        <w:numPr>
          <w:ilvl w:val="0"/>
          <w:numId w:val="3"/>
        </w:numPr>
        <w:spacing w:beforeAutospacing="true" w:afterAutospacing="true"/>
        <w:rPr>
          <w:rFonts w:cs="Arial"/>
        </w:rPr>
      </w:pPr>
      <w:r>
        <w:rPr>
          <w:rFonts w:cs="Arial"/>
        </w:rPr>
        <w:t xml:space="preserve">Provide case management support to connect those experiencing a crisis access to stable housing.</w:t>
      </w:r>
    </w:p>
    <w:p>
      <w:pPr>
        <w:numPr>
          <w:ilvl w:val="0"/>
          <w:numId w:val="3"/>
        </w:numPr>
        <w:spacing w:beforeAutospacing="true" w:afterAutospacing="true"/>
        <w:rPr>
          <w:rFonts w:cs="Arial"/>
        </w:rPr>
      </w:pPr>
      <w:r>
        <w:rPr>
          <w:rFonts w:cs="Arial"/>
        </w:rPr>
        <w:t xml:space="preserve">Provide case management support to connect those in crisis to ensure their safety and stability.</w:t>
      </w:r>
    </w:p>
    <w:p>
      <w:pPr>
        <w:spacing w:beforeAutospacing="true" w:afterAutospacing="true"/>
        <w:rPr>
          <w:rFonts w:cs="Arial"/>
        </w:rPr>
      </w:pPr>
    </w:p>
    <w:p>
      <w:pPr>
        <w:pStyle w:val="Heading2"/>
        <w:pageBreakBefore/>
        <w:rPr>
          <w:rFonts w:ascii="Calibri" w:hAnsi="Calibri"/>
          <w:i w:val="false"/>
        </w:rPr>
      </w:pPr>
      <w:r>
        <w:rPr>
          <w:rFonts w:ascii="Calibri" w:hAnsi="Calibri"/>
          <w:i w:val="false"/>
        </w:rPr>
        <w:t>SP-10 Geographic Priorities - 91.415, 91.215(a)(1)</w:t>
      </w:r>
    </w:p>
    <w:p>
      <w:pPr>
        <w:keepNext/>
        <w:widowControl w:val="false"/>
        <w:rPr>
          <w:b/>
          <w:sz w:val="24"/>
          <w:szCs w:val="24"/>
        </w:rPr>
      </w:pPr>
      <w:r>
        <w:rPr>
          <w:b/>
          <w:sz w:val="24"/>
          <w:szCs w:val="24"/>
        </w:rPr>
        <w:t>Geographic Area</w:t>
      </w:r>
    </w:p>
    <w:p>
      <w:pPr>
        <w:pStyle w:val="Caption"/>
        <w:rPr>
          <w:rFonts w:asciiTheme="minorHAnsi" w:hAnsiTheme="minorHAnsi"/>
        </w:rPr>
      </w:pPr>
      <w:r>
        <w:rPr>
          <w:rFonts w:asciiTheme="minorHAnsi" w:hAnsiTheme="minorHAnsi"/>
        </w:rPr>
        <w:t xml:space="preserve">Table </w:t>
        <w:fldChar w:fldCharType="begin"/>
        <w:instrText xml:space="preserve"> SEQ Table \* ARABIC </w:instrText>
        <w:fldChar w:fldCharType="separate"/>
        <w:t>18</w:t>
        <w:fldChar w:fldCharType="end"/>
        <w:t xml:space="preserve"> - Geographic Priority Areas</w:t>
      </w:r>
    </w:p>
    <w:tbl>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Pr>
      <w:tblGrid/>
      <w:tr>
        <w:trPr>
          <w:cantSplit w:val="true"/>
        </w:trPr>
        <w:tc>
          <w:tcPr>
            <w:vMerge w:val="restart"/>
          </w:tcPr>
          <w:p>
            <w:r>
              <w:rPr>
                <w:b w:val="true"/>
              </w:rPr>
              <w:t>1</w:t>
            </w:r>
          </w:p>
        </w:tc>
        <w:tc>
          <w:p>
            <w:pPr>
              <w:keepNext w:val="true"/>
              <w:widowControl w:val="false"/>
              <w:spacing w:before="100" w:after="0"/>
              <w:rPr>
                <w:b/>
                <w:sz w:val="24"/>
                <w:szCs w:val="24"/>
              </w:rPr>
            </w:pPr>
            <w:r>
              <w:rPr>
                <w:b/>
              </w:rPr>
              <w:t>Area Name:</w:t>
            </w:r>
          </w:p>
        </w:tc>
        <w:tc>
          <w:p>
            <w:pPr>
              <w:spacing w:before="100" w:after="0"/>
            </w:pPr>
            <w:r>
              <w:rPr>
                <w:rFonts w:ascii="Calibri" w:hAnsi="Calibri"/>
                <w:color w:val="000000"/>
                <w:sz w:val="22"/>
              </w:rPr>
              <w:t xml:space="preserve">Salt Lake County</w:t>
            </w:r>
          </w:p>
        </w:tc>
      </w:tr>
      <w:tr>
        <w:trPr>
          <w:cantSplit w:val="true"/>
        </w:trPr>
        <w:tc>
          <w:tcPr>
            <w:vMerge/>
          </w:tcPr>
          <w:p/>
        </w:tc>
        <w:tc>
          <w:p>
            <w:pPr>
              <w:keepNext w:val="true"/>
              <w:widowControl w:val="false"/>
              <w:spacing w:before="100" w:after="0"/>
              <w:rPr>
                <w:b/>
                <w:sz w:val="24"/>
                <w:szCs w:val="24"/>
              </w:rPr>
            </w:pPr>
            <w:r>
              <w:rPr>
                <w:b/>
              </w:rPr>
              <w:t>Area Type:</w:t>
            </w:r>
          </w:p>
        </w:tc>
        <w:tc>
          <w:p>
            <w:pPr>
              <w:spacing w:before="100" w:after="0"/>
            </w:pPr>
            <w:r>
              <w:rPr>
                <w:rFonts w:ascii="Calibri" w:hAnsi="Calibri"/>
                <w:color w:val="000000"/>
                <w:sz w:val="22"/>
              </w:rPr>
              <w:t xml:space="preserve">Local Target area</w:t>
            </w:r>
          </w:p>
        </w:tc>
      </w:tr>
      <w:tr>
        <w:trPr>
          <w:cantSplit w:val="true"/>
        </w:trPr>
        <w:tc>
          <w:tcPr>
            <w:vMerge/>
          </w:tcPr>
          <w:p/>
        </w:tc>
        <w:tc>
          <w:p>
            <w:pPr>
              <w:keepNext w:val="true"/>
              <w:widowControl w:val="false"/>
              <w:spacing w:before="100" w:after="0"/>
              <w:rPr>
                <w:b/>
                <w:sz w:val="24"/>
                <w:szCs w:val="24"/>
              </w:rPr>
            </w:pPr>
            <w:r>
              <w:rPr>
                <w:b/>
              </w:rPr>
              <w:t>Other Target Area Description:</w:t>
            </w:r>
          </w:p>
        </w:tc>
        <w:tc>
          <w:p>
            <w:pPr>
              <w:spacing w:before="100" w:after="0"/>
            </w:pPr>
            <w:r>
              <w:rPr>
                <w:rFonts w:ascii="Calibri" w:hAnsi="Calibri"/>
                <w:color w:val="000000"/>
                <w:sz w:val="22"/>
              </w:rPr>
              <w:t xml:space="preserve"> </w:t>
            </w:r>
          </w:p>
        </w:tc>
      </w:tr>
      <w:tr>
        <w:trPr>
          <w:cantSplit w:val="true"/>
        </w:trPr>
        <w:tc>
          <w:tcPr>
            <w:vMerge/>
          </w:tcPr>
          <w:p/>
        </w:tc>
        <w:tc>
          <w:p>
            <w:pPr>
              <w:keepNext w:val="true"/>
              <w:widowControl w:val="false"/>
              <w:spacing w:before="100" w:after="0"/>
              <w:rPr>
                <w:b/>
                <w:sz w:val="24"/>
                <w:szCs w:val="24"/>
              </w:rPr>
            </w:pPr>
            <w:r>
              <w:rPr>
                <w:b/>
              </w:rPr>
              <w:t>HUD Approval Date:</w:t>
            </w:r>
          </w:p>
        </w:tc>
        <w:tc>
          <w:p>
            <w:pPr>
              <w:spacing w:before="100" w:after="0"/>
            </w:pPr>
            <w:r>
              <w:rPr>
                <w:rFonts w:ascii="Calibri" w:hAnsi="Calibri"/>
                <w:color w:val="000000"/>
                <w:sz w:val="22"/>
              </w:rPr>
              <w:t xml:space="preserve"> </w:t>
            </w:r>
          </w:p>
        </w:tc>
      </w:tr>
      <w:tr>
        <w:trPr>
          <w:cantSplit w:val="true"/>
        </w:trPr>
        <w:tc>
          <w:tcPr>
            <w:vMerge/>
          </w:tcPr>
          <w:p/>
        </w:tc>
        <w:tc>
          <w:p>
            <w:pPr>
              <w:keepNext w:val="true"/>
              <w:widowControl w:val="false"/>
              <w:spacing w:before="100" w:after="0"/>
              <w:rPr>
                <w:b/>
              </w:rPr>
            </w:pPr>
            <w:r>
              <w:rPr>
                <w:b/>
              </w:rPr>
              <w:t>% of Low/ Mod:</w:t>
            </w:r>
          </w:p>
        </w:tc>
        <w:tc>
          <w:p>
            <w:pPr>
              <w:spacing w:before="100" w:after="0"/>
            </w:pPr>
            <w:r>
              <w:rPr>
                <w:rFonts w:ascii="Calibri" w:hAnsi="Calibri"/>
                <w:color w:val="000000"/>
                <w:sz w:val="22"/>
              </w:rPr>
              <w:t xml:space="preserve"> </w:t>
            </w:r>
          </w:p>
        </w:tc>
      </w:tr>
      <w:tr>
        <w:trPr>
          <w:cantSplit w:val="true"/>
        </w:trPr>
        <w:tc>
          <w:tcPr>
            <w:vMerge/>
          </w:tcPr>
          <w:p/>
        </w:tc>
        <w:tc>
          <w:p>
            <w:pPr>
              <w:keepNext w:val="true"/>
              <w:widowControl w:val="false"/>
              <w:spacing w:before="100" w:after="0"/>
              <w:rPr>
                <w:b/>
              </w:rPr>
            </w:pPr>
            <w:r>
              <w:rPr>
                <w:b/>
              </w:rPr>
              <w:t xml:space="preserve">Revital Type: </w:t>
            </w:r>
          </w:p>
        </w:tc>
        <w:tc>
          <w:p>
            <w:pPr>
              <w:spacing w:before="100" w:after="0"/>
            </w:pPr>
            <w:r>
              <w:rPr>
                <w:rFonts w:ascii="Calibri" w:hAnsi="Calibri"/>
                <w:color w:val="000000"/>
                <w:sz w:val="22"/>
              </w:rPr>
              <w:t xml:space="preserve">Housing</w:t>
            </w:r>
          </w:p>
        </w:tc>
      </w:tr>
      <w:tr>
        <w:trPr>
          <w:cantSplit w:val="true"/>
        </w:trPr>
        <w:tc>
          <w:tcPr>
            <w:vMerge/>
          </w:tcPr>
          <w:p/>
        </w:tc>
        <w:tc>
          <w:p>
            <w:pPr>
              <w:keepNext w:val="true"/>
              <w:widowControl w:val="false"/>
              <w:spacing w:before="100" w:after="0"/>
              <w:rPr>
                <w:b/>
              </w:rPr>
            </w:pPr>
            <w:r>
              <w:rPr>
                <w:b/>
              </w:rPr>
              <w:t>Other Revital Description:</w:t>
            </w:r>
          </w:p>
        </w:tc>
        <w:tc>
          <w:p>
            <w:pPr>
              <w:spacing w:before="100" w:after="0"/>
            </w:pPr>
            <w:r>
              <w:rPr>
                <w:rFonts w:ascii="Calibri" w:hAnsi="Calibri"/>
                <w:color w:val="000000"/>
                <w:sz w:val="22"/>
              </w:rPr>
              <w:t xml:space="preserve"> </w:t>
            </w:r>
          </w:p>
        </w:tc>
      </w:tr>
      <w:tr>
        <w:trPr>
          <w:cantSplit w:val="true"/>
        </w:trPr>
        <w:tc>
          <w:tcPr>
            <w:vMerge/>
          </w:tcPr>
          <w:p/>
        </w:tc>
        <w:tc>
          <w:p>
            <w:pPr>
              <w:keepNext w:val="true"/>
              <w:widowControl w:val="false"/>
              <w:spacing w:before="100" w:after="0"/>
              <w:rPr>
                <w:b/>
                <w:sz w:val="24"/>
                <w:szCs w:val="24"/>
              </w:rPr>
            </w:pPr>
            <w:r>
              <w:rPr>
                <w:b/>
              </w:rPr>
              <w:t>Identify the neighborhood boundaries for this target area.</w:t>
            </w:r>
          </w:p>
        </w:tc>
        <w:tc>
          <w:p>
            <w:pPr>
              <w:spacing w:before="100" w:after="0"/>
            </w:pPr>
            <w:r>
              <w:rPr>
                <w:rFonts w:ascii="Calibri" w:hAnsi="Calibri"/>
                <w:color w:val="000000"/>
                <w:sz w:val="22"/>
              </w:rPr>
              <w:t xml:space="preserve"> </w:t>
            </w:r>
          </w:p>
        </w:tc>
      </w:tr>
      <w:tr>
        <w:trPr>
          <w:cantSplit w:val="true"/>
        </w:trPr>
        <w:tc>
          <w:tcPr>
            <w:vMerge/>
          </w:tcPr>
          <w:p/>
        </w:tc>
        <w:tc>
          <w:p>
            <w:pPr>
              <w:keepNext w:val="true"/>
              <w:widowControl w:val="false"/>
              <w:spacing w:before="100" w:after="0"/>
              <w:rPr>
                <w:b/>
                <w:sz w:val="24"/>
                <w:szCs w:val="24"/>
              </w:rPr>
            </w:pPr>
            <w:r>
              <w:rPr>
                <w:b/>
              </w:rPr>
              <w:t>Include specific housing and commercial characteristics of this target area.</w:t>
            </w:r>
          </w:p>
        </w:tc>
        <w:tc>
          <w:p>
            <w:pPr>
              <w:spacing w:before="100" w:after="0"/>
            </w:pPr>
            <w:r>
              <w:rPr>
                <w:rFonts w:ascii="Calibri" w:hAnsi="Calibri"/>
                <w:color w:val="000000"/>
                <w:sz w:val="22"/>
              </w:rPr>
              <w:t xml:space="preserve"> </w:t>
            </w:r>
          </w:p>
        </w:tc>
      </w:tr>
      <w:tr>
        <w:trPr>
          <w:cantSplit w:val="true"/>
        </w:trPr>
        <w:tc>
          <w:tcPr>
            <w:vMerge/>
          </w:tcPr>
          <w:p/>
        </w:tc>
        <w:tc>
          <w:p>
            <w:pPr>
              <w:keepNext w:val="true"/>
              <w:widowControl w:val="false"/>
              <w:spacing w:before="100" w:after="0"/>
              <w:rPr>
                <w:b/>
                <w:sz w:val="24"/>
                <w:szCs w:val="24"/>
              </w:rPr>
            </w:pPr>
            <w:r>
              <w:rPr>
                <w:b/>
              </w:rPr>
              <w:t>How did your consultation and citizen participation process help you to identify this neighborhood as a target area?</w:t>
            </w:r>
          </w:p>
        </w:tc>
        <w:tc>
          <w:p>
            <w:pPr>
              <w:spacing w:before="100" w:after="0"/>
            </w:pPr>
            <w:r>
              <w:rPr>
                <w:rFonts w:ascii="Calibri" w:hAnsi="Calibri"/>
                <w:color w:val="000000"/>
                <w:sz w:val="22"/>
              </w:rPr>
              <w:t xml:space="preserve"> </w:t>
            </w:r>
          </w:p>
        </w:tc>
      </w:tr>
      <w:tr>
        <w:trPr>
          <w:cantSplit w:val="true"/>
        </w:trPr>
        <w:tc>
          <w:tcPr>
            <w:vMerge/>
          </w:tcPr>
          <w:p/>
        </w:tc>
        <w:tc>
          <w:p>
            <w:pPr>
              <w:keepNext w:val="true"/>
              <w:widowControl w:val="false"/>
              <w:spacing w:before="100" w:after="0"/>
              <w:rPr>
                <w:b/>
                <w:sz w:val="24"/>
                <w:szCs w:val="24"/>
              </w:rPr>
            </w:pPr>
            <w:r>
              <w:rPr>
                <w:b/>
              </w:rPr>
              <w:t>Identify the needs in this target area.</w:t>
            </w:r>
          </w:p>
        </w:tc>
        <w:tc>
          <w:p>
            <w:pPr>
              <w:spacing w:before="100" w:after="0"/>
            </w:pPr>
            <w:r>
              <w:rPr>
                <w:rFonts w:ascii="Calibri" w:hAnsi="Calibri"/>
                <w:color w:val="000000"/>
                <w:sz w:val="22"/>
              </w:rPr>
              <w:t xml:space="preserve"> </w:t>
            </w:r>
          </w:p>
        </w:tc>
      </w:tr>
      <w:tr>
        <w:trPr>
          <w:cantSplit w:val="true"/>
        </w:trPr>
        <w:tc>
          <w:tcPr>
            <w:vMerge/>
          </w:tcPr>
          <w:p/>
        </w:tc>
        <w:tc>
          <w:p>
            <w:pPr>
              <w:keepNext w:val="true"/>
              <w:widowControl w:val="false"/>
              <w:spacing w:before="100" w:after="0"/>
              <w:rPr>
                <w:b/>
                <w:sz w:val="24"/>
                <w:szCs w:val="24"/>
              </w:rPr>
            </w:pPr>
            <w:r>
              <w:rPr>
                <w:b/>
              </w:rPr>
              <w:t xml:space="preserve">What are the opportunities for improvement in this target area?    </w:t>
            </w:r>
          </w:p>
        </w:tc>
        <w:tc>
          <w:p>
            <w:pPr>
              <w:spacing w:before="100" w:after="0"/>
            </w:pPr>
            <w:r>
              <w:rPr>
                <w:rFonts w:ascii="Calibri" w:hAnsi="Calibri"/>
                <w:color w:val="000000"/>
                <w:sz w:val="22"/>
              </w:rPr>
              <w:t xml:space="preserve"> </w:t>
            </w:r>
          </w:p>
        </w:tc>
      </w:tr>
      <w:tr>
        <w:trPr>
          <w:cantSplit w:val="true"/>
        </w:trPr>
        <w:tc>
          <w:tcPr>
            <w:vMerge/>
          </w:tcPr>
          <w:p/>
        </w:tc>
        <w:tc>
          <w:p>
            <w:pPr>
              <w:keepNext w:val="true"/>
              <w:widowControl w:val="false"/>
              <w:spacing w:before="100" w:after="0"/>
              <w:rPr>
                <w:b/>
                <w:sz w:val="24"/>
                <w:szCs w:val="24"/>
              </w:rPr>
            </w:pPr>
            <w:r>
              <w:rPr>
                <w:b/>
              </w:rPr>
              <w:t>Are there barriers to improvement in this target area?</w:t>
            </w:r>
          </w:p>
        </w:tc>
        <w:tc>
          <w:p>
            <w:pPr>
              <w:spacing w:before="100" w:after="0"/>
            </w:pPr>
            <w:r>
              <w:rPr>
                <w:rFonts w:ascii="Calibri" w:hAnsi="Calibri"/>
                <w:color w:val="000000"/>
                <w:sz w:val="22"/>
              </w:rPr>
              <w:t xml:space="preserve"> </w:t>
            </w:r>
          </w:p>
        </w:tc>
      </w:tr>
    </w:tbl>
    <w:p>
      <w:pPr>
        <w:spacing w:after="0" w:line="240" w:lineRule="auto"/>
        <w:rPr>
          <w:b/>
        </w:rPr>
      </w:pPr>
    </w:p>
    <w:p>
      <w:pPr>
        <w:keepNext/>
        <w:widowControl w:val="false"/>
        <w:rPr>
          <w:b/>
          <w:sz w:val="24"/>
          <w:szCs w:val="24"/>
        </w:rPr>
      </w:pPr>
      <w:r>
        <w:rPr>
          <w:b/>
          <w:sz w:val="24"/>
          <w:szCs w:val="24"/>
        </w:rPr>
        <w:t>General Allocation Priorities</w:t>
      </w:r>
    </w:p>
    <w:p>
      <w:pPr>
        <w:keepNext/>
        <w:widowControl w:val="false"/>
        <w:rPr>
          <w:b/>
          <w:sz w:val="24"/>
          <w:szCs w:val="24"/>
        </w:rPr>
      </w:pPr>
      <w:r>
        <w:t>Describe the basis for allocating investments geographically within the state</w:t>
      </w:r>
    </w:p>
    <w:p>
      <w:pPr>
        <w:spacing w:beforeAutospacing="true" w:afterAutospacing="true"/>
      </w:pPr>
      <w:r>
        <w:rPr/>
        <w:t xml:space="preserve">Salt Lake County’s geographic strategy is based on (1) eligible areas for programs and projects to be funding out of the HOME program,  ESG program, and CDBG program, (2) location of greatest needs identified by data, location of Low Opportunity Zones, and location of Opportunity Zones, and (3) input received from citizens on the greatest needs in Salt Lake County.</w:t>
      </w:r>
    </w:p>
    <w:p>
      <w:pPr>
        <w:spacing w:beforeAutospacing="true" w:afterAutospacing="true"/>
      </w:pPr>
      <w:r>
        <w:rPr>
          <w:b/>
        </w:rPr>
        <w:t xml:space="preserve">Eligible Areas</w:t>
      </w:r>
    </w:p>
    <w:p>
      <w:pPr>
        <w:spacing w:beforeAutospacing="true" w:afterAutospacing="true"/>
      </w:pPr>
      <w:r>
        <w:rPr/>
        <w:t xml:space="preserve">-Salt Lake County HOME Consortium includes all of Salt Lake County except for Salt Lake City.  The Salt Lake County Consortium consists of the Salt Lake County Urban County and the cities of West Jordan, West Valley City, Sandy, Taylorsville, and South Jordan.</w:t>
      </w:r>
    </w:p>
    <w:p>
      <w:pPr>
        <w:numPr>
          <w:ilvl w:val="0"/>
          <w:numId w:val="21"/>
        </w:numPr>
        <w:spacing w:beforeAutospacing="true" w:afterAutospacing="true"/>
      </w:pPr>
      <w:r>
        <w:rPr/>
        <w:t xml:space="preserve">The following activities funded with Salt Lake County Consortium HOME funds will be located in Salt Lake County except for Salt Lake City</w:t>
      </w:r>
      <w:r>
        <w:rPr/>
        <w:t xml:space="preserve">Housing rehabilitation</w:t>
      </w:r>
      <w:r>
        <w:rPr/>
        <w:t xml:space="preserve">Downpayment assistance</w:t>
      </w:r>
    </w:p>
    <w:p>
      <w:pPr>
        <w:numPr>
          <w:ilvl w:val="0"/>
          <w:numId w:val="21"/>
        </w:numPr>
        <w:spacing w:beforeAutospacing="true" w:afterAutospacing="true"/>
      </w:pPr>
      <w:r>
        <w:rPr/>
        <w:t xml:space="preserve">The following activities funded with Salt Lake County Consortium HOME Funds can be located anywhere in Salt Lake County</w:t>
      </w:r>
      <w:r>
        <w:rPr/>
        <w:t xml:space="preserve">Rental housing new construction and preservation. A project located in Salt Lake City if it shows a county wide benefit and if Salt Lake City is providing part of the funding.</w:t>
      </w:r>
      <w:r>
        <w:rPr/>
        <w:t xml:space="preserve">Tenant based rental assistance can be provided county wide if it is homeless</w:t>
      </w:r>
    </w:p>
    <w:p>
      <w:pPr>
        <w:spacing w:beforeAutospacing="true" w:afterAutospacing="true"/>
      </w:pPr>
      <w:r>
        <w:rPr/>
        <w:t xml:space="preserve">-For CDBG the Salt Lake Urban County includes Unincorporated Salt Lake County, Alta, Bluffdale, Copperton Metro Township, Cottonwood eights, Draper, Emigration Metro Tokr wnship, Herriman, Holladay, Kearns Metro Township, Magna Metro Township, Midvale, Millcreek, Riverton, South Salt Lake, and White City Metro Township.</w:t>
      </w:r>
    </w:p>
    <w:p>
      <w:pPr>
        <w:spacing w:beforeAutospacing="true" w:afterAutospacing="true"/>
      </w:pPr>
      <w:r>
        <w:rPr/>
        <w:t xml:space="preserve">-</w:t>
      </w:r>
      <w:r>
        <w:rPr>
          <w:b/>
        </w:rPr>
        <w:t xml:space="preserve">Location of greatest need:</w:t>
      </w:r>
    </w:p>
    <w:p>
      <w:pPr>
        <w:spacing w:beforeAutospacing="true" w:afterAutospacing="true"/>
      </w:pPr>
      <w:r>
        <w:rPr/>
        <w:t xml:space="preserve">Greatest need geographic areas in Salt Lake County are illustrated in the Low Opportunity Zones and Opportunity Zones maps. </w:t>
      </w:r>
      <w:r>
        <w:rPr/>
        <w:t xml:space="preserve">The results of the FHEA identify five low opportunity cities; Salt Lake City (River District), South Salt Lake, Midvale, Taylorsville and West Valley City as well as two low opportunity neighborhoods in unincorporated Salt Lake County; Magna and Kearns </w:t>
      </w:r>
      <w:r>
        <w:rPr>
          <w:i/>
        </w:rPr>
        <w:t xml:space="preserve">Figure 1. </w:t>
      </w:r>
      <w:r>
        <w:rPr/>
        <w:t xml:space="preserve">Within these cities and neighborhoods opportunity and equity are at risk.</w:t>
      </w:r>
    </w:p>
    <w:p>
      <w:pPr>
        <w:spacing w:beforeAutospacing="true" w:afterAutospacing="true"/>
      </w:pPr>
      <w:r>
        <w:rPr>
          <w:b/>
        </w:rPr>
        <w:t xml:space="preserve">-Input received </w:t>
      </w:r>
    </w:p>
    <w:p>
      <w:pPr>
        <w:spacing w:beforeAutospacing="true" w:afterAutospacing="true"/>
      </w:pPr>
      <w:r>
        <w:rPr>
          <w:u w:val="single"/>
        </w:rPr>
        <w:t xml:space="preserve">The Northwest Quadrant (Kearns, Magna, Taylorsville, West Valley)</w:t>
      </w:r>
      <w:r>
        <w:rPr/>
        <w:t xml:space="preserve"> indicated that neighborhood revitalization is the top need.  This included home repairs and energy efficiency improvements.  Also, neighborhood improvements to improve safety were important to those communities.</w:t>
      </w:r>
    </w:p>
    <w:p>
      <w:pPr>
        <w:spacing w:beforeAutospacing="true" w:afterAutospacing="true"/>
      </w:pPr>
      <w:r>
        <w:rPr>
          <w:u w:val="single"/>
        </w:rPr>
        <w:t xml:space="preserve">The Northeast Quadrant (Emigration, Holladay, Millcreek, South Salt Lake</w:t>
      </w:r>
      <w:r>
        <w:rPr/>
        <w:t xml:space="preserve">) data shows that housing services were most needed.  This includes more affordable housing, rental assistance, home ownership assistance and preserving existing affordable housing.</w:t>
      </w:r>
    </w:p>
    <w:p>
      <w:pPr>
        <w:spacing w:beforeAutospacing="true" w:afterAutospacing="true"/>
      </w:pPr>
      <w:r>
        <w:rPr>
          <w:u w:val="single"/>
        </w:rPr>
        <w:t xml:space="preserve">The Southwest Quadrant (Bluffdale, Copperton, Herriman, Riverton, South Jordan, West Jordan</w:t>
      </w:r>
      <w:r>
        <w:rPr/>
        <w:t xml:space="preserve">) responses indicated transportation as their #1 priority followed by home ownership assistance.</w:t>
      </w:r>
    </w:p>
    <w:p>
      <w:pPr>
        <w:spacing w:beforeAutospacing="true" w:afterAutospacing="true"/>
      </w:pPr>
      <w:r>
        <w:rPr>
          <w:u w:val="single"/>
        </w:rPr>
        <w:t xml:space="preserve">The Southeast Quadrant (Alta, Cottonwood Heights, Draper, Midvale, Murray, Sandy, White City</w:t>
      </w:r>
      <w:r>
        <w:rPr/>
        <w:t xml:space="preserve">) feedback that creating higher wage jobs and job training as the most important areas they would like to see services increased.  They also noted that park enhancements as a high priority.</w:t>
      </w:r>
    </w:p>
    <w:p>
      <w:pPr>
        <w:spacing w:beforeAutospacing="true" w:afterAutospacing="true"/>
      </w:pPr>
      <w:r>
        <w:rPr/>
        <w:t xml:space="preserve"> </w:t>
      </w:r>
    </w:p>
    <w:p>
      <w:pPr>
        <w:spacing w:beforeAutospacing="true" w:afterAutospacing="true"/>
      </w:pPr>
    </w:p>
    <w:p>
      <w:pPr>
        <w:spacing w:after="0" w:line="240" w:lineRule="auto"/>
        <w:rPr>
          <w:b/>
        </w:rPr>
      </w:pPr>
    </w:p>
    <w:p>
      <w:pPr>
        <w:spacing w:after="0" w:line="240" w:lineRule="auto"/>
        <w:rPr>
          <w:b/>
        </w:rPr>
      </w:pPr>
      <w:r>
        <w:rPr>
          <w:rFonts w:cs="Arial"/>
          <w:b/>
        </w:rPr>
        <w:drawing>
          <wp:inline distT="0" distB="0" distL="0" distR="0">
            <wp:extent cx="5943600" cy="7691718"/>
            <wp:effectExtent l="0" t="0" r="0" b="0"/>
            <wp:docPr id="0" name="" descr=""/>
            <wp:cNvGraphicFramePr>
              <a:graphicFrameLocks noChangeAspect="true"/>
            </wp:cNvGraphicFramePr>
            <a:graphic>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43600" cy="7691718"/>
                    </a:xfrm>
                    <a:prstGeom prst="rect">
                      <a:avLst/>
                    </a:prstGeom>
                  </pic:spPr>
                </pic:pic>
              </a:graphicData>
            </a:graphic>
          </wp:inline>
        </w:drawing>
        <w:br/>
        <w:t>Salt Lake County Opportunity Zones</w:t>
      </w:r>
    </w:p>
    <w:p>
      <w:pPr>
        <w:spacing w:after="0" w:line="240" w:lineRule="auto"/>
        <w:rPr>
          <w:b/>
        </w:rPr>
      </w:pPr>
      <w:r>
        <w:rPr>
          <w:rFonts w:cs="Arial"/>
          <w:b/>
        </w:rPr>
        <w:drawing>
          <wp:inline distT="0" distB="0" distL="0" distR="0">
            <wp:extent cx="5943600" cy="7126055"/>
            <wp:effectExtent l="0" t="0" r="0" b="0"/>
            <wp:docPr id="0" name="" descr=""/>
            <wp:cNvGraphicFramePr>
              <a:graphicFrameLocks noChangeAspect="true"/>
            </wp:cNvGraphicFramePr>
            <a:graphic>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43600" cy="7126055"/>
                    </a:xfrm>
                    <a:prstGeom prst="rect">
                      <a:avLst/>
                    </a:prstGeom>
                  </pic:spPr>
                </pic:pic>
              </a:graphicData>
            </a:graphic>
          </wp:inline>
        </w:drawing>
        <w:br/>
        <w:t>Salt Lake County Low Opportunity Zones</w:t>
      </w:r>
    </w:p>
    <w:p>
      <w:pPr>
        <w:spacing w:after="0" w:line="240" w:lineRule="auto"/>
        <w:rPr>
          <w:b/>
        </w:rPr>
      </w:pPr>
    </w:p>
    <w:p>
      <w:pPr>
        <w:pStyle w:val="Heading2"/>
        <w:pageBreakBefore/>
        <w:rPr>
          <w:rFonts w:ascii="Calibri" w:hAnsi="Calibri"/>
          <w:i w:val="false"/>
        </w:rPr>
      </w:pPr>
      <w:r>
        <w:rPr>
          <w:rFonts w:ascii="Calibri" w:hAnsi="Calibri"/>
          <w:i w:val="false"/>
        </w:rPr>
        <w:t>SP-25 Priority Needs - 91.415, 91.215(a)(2)</w:t>
      </w:r>
    </w:p>
    <w:p>
      <w:pPr>
        <w:keepNext/>
        <w:widowControl w:val="false"/>
        <w:rPr>
          <w:b/>
          <w:sz w:val="24"/>
          <w:szCs w:val="24"/>
        </w:rPr>
      </w:pPr>
      <w:r>
        <w:rPr>
          <w:b/>
          <w:sz w:val="24"/>
          <w:szCs w:val="24"/>
        </w:rPr>
        <w:t>Priority Needs</w:t>
      </w:r>
    </w:p>
    <w:p>
      <w:pPr>
        <w:pStyle w:val="Caption"/>
        <w:rPr>
          <w:rFonts w:asciiTheme="minorHAnsi" w:hAnsiTheme="minorHAnsi"/>
        </w:rPr>
      </w:pPr>
      <w:r>
        <w:rPr>
          <w:rFonts w:asciiTheme="minorHAnsi" w:hAnsiTheme="minorHAnsi"/>
        </w:rPr>
        <w:t xml:space="preserve">Table </w:t>
        <w:fldChar w:fldCharType="begin"/>
        <w:instrText xml:space="preserve"> SEQ Table \* ARABIC </w:instrText>
        <w:fldChar w:fldCharType="separate"/>
        <w:t>19</w:t>
        <w:fldChar w:fldCharType="end"/>
        <w:t xml:space="preserve"> – Priority Needs Summary</w:t>
      </w:r>
    </w:p>
    <w:tbl>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Pr>
      <w:tblGrid/>
      <w:tr>
        <w:trPr>
          <w:cantSplit w:val="true"/>
        </w:trPr>
        <w:tc>
          <w:tcPr>
            <w:vMerge w:val="restart"/>
          </w:tcPr>
          <w:p>
            <w:r>
              <w:rPr>
                <w:b w:val="true"/>
              </w:rPr>
              <w:t>1</w:t>
            </w:r>
          </w:p>
        </w:tc>
        <w:tc>
          <w:p>
            <w:pPr>
              <w:keepNext w:val="true"/>
              <w:spacing w:before="100" w:after="0"/>
              <w:rPr>
                <w:b/>
              </w:rPr>
            </w:pPr>
            <w:r>
              <w:rPr>
                <w:b/>
              </w:rPr>
              <w:t>Priority Need Name</w:t>
            </w:r>
          </w:p>
        </w:tc>
        <w:tc>
          <w:p>
            <w:pPr>
              <w:spacing w:before="100" w:after="0"/>
            </w:pPr>
            <w:r>
              <w:rPr>
                <w:rFonts w:ascii="Calibri" w:hAnsi="Calibri"/>
                <w:color w:val="000000"/>
                <w:sz w:val="22"/>
              </w:rPr>
              <w:t xml:space="preserve">Housing Rehabilitation</w:t>
            </w:r>
          </w:p>
        </w:tc>
      </w:tr>
      <w:tr>
        <w:trPr>
          <w:cantSplit w:val="true"/>
        </w:trPr>
        <w:tc>
          <w:tcPr>
            <w:vMerge/>
          </w:tcPr>
          <w:p/>
        </w:tc>
        <w:tc>
          <w:p>
            <w:pPr>
              <w:keepNext w:val="true"/>
              <w:spacing w:before="100" w:after="0"/>
              <w:rPr>
                <w:b/>
              </w:rPr>
            </w:pPr>
            <w:r>
              <w:rPr>
                <w:b/>
              </w:rPr>
              <w:t>Priority Level</w:t>
            </w:r>
          </w:p>
        </w:tc>
        <w:tc>
          <w:p>
            <w:pPr>
              <w:spacing w:before="100" w:after="0"/>
            </w:pPr>
            <w:r>
              <w:rPr>
                <w:rFonts w:ascii="Calibri" w:hAnsi="Calibri"/>
                <w:color w:val="000000"/>
                <w:sz w:val="22"/>
              </w:rPr>
              <w:t xml:space="preserve">High</w:t>
            </w:r>
          </w:p>
        </w:tc>
      </w:tr>
      <w:tr>
        <w:trPr>
          <w:cantSplit w:val="true"/>
        </w:trPr>
        <w:tc>
          <w:tcPr>
            <w:vMerge/>
          </w:tcPr>
          <w:p/>
        </w:tc>
        <w:tc>
          <w:p>
            <w:pPr>
              <w:keepNext w:val="true"/>
              <w:spacing w:before="100" w:after="0"/>
              <w:rPr>
                <w:b/>
              </w:rPr>
            </w:pPr>
            <w:r>
              <w:rPr>
                <w:b/>
              </w:rPr>
              <w:t>Population</w:t>
            </w:r>
          </w:p>
        </w:tc>
        <w:tc>
          <w:p>
            <w:pPr>
              <w:spacing w:before="100" w:after="0"/>
            </w:pPr>
            <w:r>
              <w:rPr>
                <w:rFonts w:ascii="Calibri" w:hAnsi="Calibri"/>
                <w:color w:val="000000"/>
                <w:sz w:val="22"/>
              </w:rPr>
              <w:t xml:space="preserve">Extremely Low</w:t>
            </w:r>
            <w:r>
              <w:rPr>
                <w:rFonts w:ascii="Calibri" w:hAnsi="Calibri"/>
                <w:color w:val="000000"/>
                <w:sz w:val="22"/>
              </w:rPr>
              <w:br/>
              <w:t xml:space="preserve"/>
            </w:r>
            <w:r>
              <w:rPr>
                <w:rFonts w:ascii="Calibri" w:hAnsi="Calibri"/>
                <w:color w:val="000000"/>
                <w:sz w:val="22"/>
              </w:rPr>
              <w:t xml:space="preserve">Low</w:t>
            </w:r>
            <w:r>
              <w:rPr>
                <w:rFonts w:ascii="Calibri" w:hAnsi="Calibri"/>
                <w:color w:val="000000"/>
                <w:sz w:val="22"/>
              </w:rPr>
              <w:br/>
              <w:t xml:space="preserve"/>
            </w:r>
            <w:r>
              <w:rPr>
                <w:rFonts w:ascii="Calibri" w:hAnsi="Calibri"/>
                <w:color w:val="000000"/>
                <w:sz w:val="22"/>
              </w:rPr>
              <w:t xml:space="preserve">Moderate</w:t>
            </w:r>
            <w:r>
              <w:rPr>
                <w:rFonts w:ascii="Calibri" w:hAnsi="Calibri"/>
                <w:color w:val="000000"/>
                <w:sz w:val="22"/>
              </w:rPr>
              <w:br/>
              <w:t xml:space="preserve"/>
            </w:r>
            <w:r>
              <w:rPr>
                <w:rFonts w:ascii="Calibri" w:hAnsi="Calibri"/>
                <w:color w:val="000000"/>
                <w:sz w:val="22"/>
              </w:rPr>
              <w:t xml:space="preserve">Large Families</w:t>
            </w:r>
            <w:r>
              <w:rPr>
                <w:rFonts w:ascii="Calibri" w:hAnsi="Calibri"/>
                <w:color w:val="000000"/>
                <w:sz w:val="22"/>
              </w:rPr>
              <w:br/>
              <w:t xml:space="preserve"/>
            </w:r>
            <w:r>
              <w:rPr>
                <w:rFonts w:ascii="Calibri" w:hAnsi="Calibri"/>
                <w:color w:val="000000"/>
                <w:sz w:val="22"/>
              </w:rPr>
              <w:t xml:space="preserve">Families with Children</w:t>
            </w:r>
            <w:r>
              <w:rPr>
                <w:rFonts w:ascii="Calibri" w:hAnsi="Calibri"/>
                <w:color w:val="000000"/>
                <w:sz w:val="22"/>
              </w:rPr>
              <w:br/>
              <w:t xml:space="preserve"/>
            </w:r>
            <w:r>
              <w:rPr>
                <w:rFonts w:ascii="Calibri" w:hAnsi="Calibri"/>
                <w:color w:val="000000"/>
                <w:sz w:val="22"/>
              </w:rPr>
              <w:t xml:space="preserve">Elderly</w:t>
            </w:r>
            <w:r>
              <w:rPr>
                <w:rFonts w:ascii="Calibri" w:hAnsi="Calibri"/>
                <w:color w:val="000000"/>
                <w:sz w:val="22"/>
              </w:rPr>
              <w:br/>
              <w:t xml:space="preserve"/>
            </w:r>
            <w:r>
              <w:rPr>
                <w:rFonts w:ascii="Calibri" w:hAnsi="Calibri"/>
                <w:color w:val="000000"/>
                <w:sz w:val="22"/>
              </w:rPr>
              <w:t xml:space="preserve">Elderly</w:t>
            </w:r>
            <w:r>
              <w:rPr>
                <w:rFonts w:ascii="Calibri" w:hAnsi="Calibri"/>
                <w:color w:val="000000"/>
                <w:sz w:val="22"/>
              </w:rPr>
              <w:br/>
              <w:t xml:space="preserve"/>
            </w:r>
            <w:r>
              <w:rPr>
                <w:rFonts w:ascii="Calibri" w:hAnsi="Calibri"/>
                <w:color w:val="000000"/>
                <w:sz w:val="22"/>
              </w:rPr>
              <w:t xml:space="preserve">Frail Elderly</w:t>
            </w:r>
            <w:r>
              <w:rPr>
                <w:rFonts w:ascii="Calibri" w:hAnsi="Calibri"/>
                <w:color w:val="000000"/>
                <w:sz w:val="22"/>
              </w:rPr>
              <w:br/>
              <w:t xml:space="preserve"/>
            </w:r>
            <w:r>
              <w:rPr>
                <w:rFonts w:ascii="Calibri" w:hAnsi="Calibri"/>
                <w:color w:val="000000"/>
                <w:sz w:val="22"/>
              </w:rPr>
              <w:t xml:space="preserve">Persons with Mental Disabilities</w:t>
            </w:r>
            <w:r>
              <w:rPr>
                <w:rFonts w:ascii="Calibri" w:hAnsi="Calibri"/>
                <w:color w:val="000000"/>
                <w:sz w:val="22"/>
              </w:rPr>
              <w:br/>
              <w:t xml:space="preserve"/>
            </w:r>
            <w:r>
              <w:rPr>
                <w:rFonts w:ascii="Calibri" w:hAnsi="Calibri"/>
                <w:color w:val="000000"/>
                <w:sz w:val="22"/>
              </w:rPr>
              <w:t xml:space="preserve">Persons with Physical Disabilities</w:t>
            </w:r>
            <w:r>
              <w:rPr>
                <w:rFonts w:ascii="Calibri" w:hAnsi="Calibri"/>
                <w:color w:val="000000"/>
                <w:sz w:val="22"/>
              </w:rPr>
              <w:br/>
              <w:t xml:space="preserve"/>
            </w:r>
            <w:r>
              <w:rPr>
                <w:rFonts w:ascii="Calibri" w:hAnsi="Calibri"/>
                <w:color w:val="000000"/>
                <w:sz w:val="22"/>
              </w:rPr>
              <w:t xml:space="preserve">Persons with Developmental Disabilities</w:t>
            </w:r>
            <w:r>
              <w:rPr>
                <w:rFonts w:ascii="Calibri" w:hAnsi="Calibri"/>
                <w:color w:val="000000"/>
                <w:sz w:val="22"/>
              </w:rPr>
              <w:br/>
              <w:t xml:space="preserve"/>
            </w:r>
            <w:r>
              <w:rPr>
                <w:rFonts w:ascii="Calibri" w:hAnsi="Calibri"/>
                <w:color w:val="000000"/>
                <w:sz w:val="22"/>
              </w:rPr>
              <w:t xml:space="preserve">Persons with Alcohol or Other Addictions</w:t>
            </w:r>
            <w:r>
              <w:rPr>
                <w:rFonts w:ascii="Calibri" w:hAnsi="Calibri"/>
                <w:color w:val="000000"/>
                <w:sz w:val="22"/>
              </w:rPr>
              <w:br/>
              <w:t xml:space="preserve"/>
            </w:r>
            <w:r>
              <w:rPr>
                <w:rFonts w:ascii="Calibri" w:hAnsi="Calibri"/>
                <w:color w:val="000000"/>
                <w:sz w:val="22"/>
              </w:rPr>
              <w:t xml:space="preserve">Persons with HIV/AIDS and their Families</w:t>
            </w:r>
            <w:r>
              <w:rPr>
                <w:rFonts w:ascii="Calibri" w:hAnsi="Calibri"/>
                <w:color w:val="000000"/>
                <w:sz w:val="22"/>
              </w:rPr>
              <w:br/>
              <w:t xml:space="preserve"/>
            </w:r>
            <w:r>
              <w:rPr>
                <w:rFonts w:ascii="Calibri" w:hAnsi="Calibri"/>
                <w:color w:val="000000"/>
                <w:sz w:val="22"/>
              </w:rPr>
              <w:t xml:space="preserve">Victims of Domestic Violence</w:t>
            </w:r>
          </w:p>
        </w:tc>
      </w:tr>
      <w:tr>
        <w:trPr>
          <w:cantSplit w:val="true"/>
        </w:trPr>
        <w:tc>
          <w:tcPr>
            <w:vMerge/>
          </w:tcPr>
          <w:p/>
        </w:tc>
        <w:tc>
          <w:p>
            <w:pPr>
              <w:keepNext w:val="true"/>
              <w:spacing w:before="100" w:after="0"/>
              <w:rPr>
                <w:b/>
              </w:rPr>
            </w:pPr>
            <w:r>
              <w:rPr>
                <w:b/>
              </w:rPr>
              <w:t>Geographic Areas Affected</w:t>
            </w:r>
          </w:p>
        </w:tc>
        <w:tc>
          <w:p>
            <w:pPr>
              <w:spacing w:before="100" w:after="0"/>
            </w:pPr>
            <w:r>
              <w:rPr>
                <w:rFonts w:ascii="Calibri" w:hAnsi="Calibri"/>
                <w:color w:val="000000"/>
                <w:sz w:val="22"/>
              </w:rPr>
              <w:t xml:space="preserve">Salt Lake County</w:t>
            </w:r>
          </w:p>
        </w:tc>
      </w:tr>
      <w:tr>
        <w:trPr>
          <w:cantSplit w:val="true"/>
        </w:trPr>
        <w:tc>
          <w:tcPr>
            <w:vMerge/>
          </w:tcPr>
          <w:p/>
        </w:tc>
        <w:tc>
          <w:p>
            <w:pPr>
              <w:keepNext w:val="true"/>
              <w:spacing w:before="100" w:after="0"/>
              <w:rPr>
                <w:b/>
              </w:rPr>
            </w:pPr>
            <w:r>
              <w:rPr>
                <w:b/>
              </w:rPr>
              <w:t>Associated Goals</w:t>
            </w:r>
          </w:p>
        </w:tc>
        <w:tc>
          <w:p>
            <w:pPr>
              <w:spacing w:before="100" w:after="0"/>
            </w:pPr>
            <w:r>
              <w:rPr>
                <w:rFonts w:ascii="Calibri" w:hAnsi="Calibri"/>
                <w:color w:val="000000"/>
                <w:sz w:val="22"/>
              </w:rPr>
              <w:t xml:space="preserve">Housing Rehabilitation &amp; Accessibility</w:t>
            </w:r>
            <w:r>
              <w:rPr>
                <w:rFonts w:ascii="Calibri" w:hAnsi="Calibri"/>
                <w:color w:val="000000"/>
                <w:sz w:val="22"/>
              </w:rPr>
              <w:br/>
              <w:t xml:space="preserve"/>
            </w:r>
            <w:r>
              <w:rPr>
                <w:rFonts w:ascii="Calibri" w:hAnsi="Calibri"/>
                <w:color w:val="000000"/>
                <w:sz w:val="22"/>
              </w:rPr>
              <w:t xml:space="preserve">Administration of HOME, ESG and CDBG</w:t>
            </w:r>
          </w:p>
        </w:tc>
      </w:tr>
      <w:tr>
        <w:trPr>
          <w:cantSplit w:val="true"/>
        </w:trPr>
        <w:tc>
          <w:tcPr>
            <w:vMerge/>
          </w:tcPr>
          <w:p/>
        </w:tc>
        <w:tc>
          <w:p>
            <w:pPr>
              <w:keepNext w:val="true"/>
              <w:spacing w:before="100" w:after="0"/>
              <w:rPr>
                <w:b/>
              </w:rPr>
            </w:pPr>
            <w:r>
              <w:rPr>
                <w:b/>
              </w:rPr>
              <w:t>Description</w:t>
            </w:r>
          </w:p>
        </w:tc>
        <w:tc>
          <w:p>
            <w:pPr>
              <w:spacing w:before="100" w:after="0"/>
            </w:pPr>
            <w:r>
              <w:rPr>
                <w:rFonts w:ascii="Calibri" w:hAnsi="Calibri"/>
                <w:b/>
                <w:color w:val="000000"/>
                <w:sz w:val="22"/>
              </w:rPr>
              <w:t xml:space="preserve">Objective:  Preservation of existing housing stock, Emergency Home Repair  and Neighborhood revitalization</w:t>
            </w:r>
          </w:p>
          <w:p>
            <w:pPr>
              <w:spacing w:before="100" w:after="0"/>
            </w:pPr>
            <w:r>
              <w:rPr>
                <w:rFonts w:ascii="Calibri" w:hAnsi="Calibri"/>
                <w:b/>
                <w:color w:val="000000"/>
                <w:sz w:val="22"/>
              </w:rPr>
              <w:t xml:space="preserve">Over the next five years, CDBG and HOME funds will finance emergency home repairs, accessibility design, retrofitting for accessibility and the renovation of 1,000 owner-occupied homes (HOME &amp; CDBG funds) to perserve the existing housing stock.  These funds will be allocated to nonprofit organizations.</w:t>
            </w:r>
          </w:p>
          <w:p>
            <w:pPr>
              <w:spacing w:before="100" w:after="0"/>
            </w:pPr>
          </w:p>
        </w:tc>
      </w:tr>
      <w:tr>
        <w:trPr>
          <w:cantSplit w:val="true"/>
        </w:trPr>
        <w:tc>
          <w:tcPr>
            <w:vMerge/>
          </w:tcPr>
          <w:p/>
        </w:tc>
        <w:tc>
          <w:p>
            <w:pPr>
              <w:keepNext w:val="true"/>
              <w:spacing w:before="100" w:after="0"/>
              <w:rPr>
                <w:b/>
              </w:rPr>
            </w:pPr>
            <w:r>
              <w:rPr>
                <w:b/>
              </w:rPr>
              <w:t>Basis for Relative Priority</w:t>
            </w:r>
          </w:p>
        </w:tc>
        <w:tc>
          <w:p>
            <w:pPr>
              <w:spacing w:before="100" w:after="0"/>
            </w:pPr>
            <w:r>
              <w:rPr>
                <w:rFonts w:ascii="Calibri" w:hAnsi="Calibri"/>
                <w:color w:val="000000"/>
                <w:sz w:val="22"/>
              </w:rPr>
              <w:t xml:space="preserve">Based on the input received, the analysis of census data, there is a great need for funding </w:t>
            </w:r>
            <w:r>
              <w:rPr>
                <w:rFonts w:ascii="Calibri" w:hAnsi="Calibri"/>
                <w:color w:val="000000"/>
                <w:sz w:val="22"/>
              </w:rPr>
              <w:t xml:space="preserve">for emergency home repairs and accessiblity design, </w:t>
            </w:r>
            <w:r>
              <w:rPr>
                <w:rFonts w:ascii="Calibri" w:hAnsi="Calibri"/>
                <w:color w:val="000000"/>
                <w:sz w:val="22"/>
              </w:rPr>
              <w:t xml:space="preserve">retrofitting homes to make them more accessible and rehabilitating homes to maintain the existing housing stock.  </w:t>
            </w:r>
            <w:r>
              <w:rPr>
                <w:rFonts w:ascii="Calibri" w:hAnsi="Calibri"/>
                <w:color w:val="000000"/>
                <w:sz w:val="22"/>
              </w:rPr>
              <w:t xml:space="preserve">It is estimated that over the next five years, 400 households will be assisted through these programs. </w:t>
            </w:r>
          </w:p>
        </w:tc>
      </w:tr>
      <w:tr>
        <w:trPr>
          <w:cantSplit w:val="true"/>
        </w:trPr>
        <w:tc>
          <w:tcPr>
            <w:vMerge w:val="restart"/>
          </w:tcPr>
          <w:p>
            <w:r>
              <w:rPr>
                <w:b w:val="true"/>
              </w:rPr>
              <w:t>2</w:t>
            </w:r>
          </w:p>
        </w:tc>
        <w:tc>
          <w:p>
            <w:pPr>
              <w:keepNext w:val="true"/>
              <w:spacing w:before="100" w:after="0"/>
              <w:rPr>
                <w:b/>
              </w:rPr>
            </w:pPr>
            <w:r>
              <w:rPr>
                <w:b/>
              </w:rPr>
              <w:t>Priority Need Name</w:t>
            </w:r>
          </w:p>
        </w:tc>
        <w:tc>
          <w:p>
            <w:pPr>
              <w:spacing w:before="100" w:after="0"/>
            </w:pPr>
            <w:r>
              <w:rPr>
                <w:rFonts w:ascii="Calibri" w:hAnsi="Calibri"/>
                <w:color w:val="000000"/>
                <w:sz w:val="22"/>
              </w:rPr>
              <w:t xml:space="preserve">Rental Housing</w:t>
            </w:r>
          </w:p>
        </w:tc>
      </w:tr>
      <w:tr>
        <w:trPr>
          <w:cantSplit w:val="true"/>
        </w:trPr>
        <w:tc>
          <w:tcPr>
            <w:vMerge/>
          </w:tcPr>
          <w:p/>
        </w:tc>
        <w:tc>
          <w:p>
            <w:pPr>
              <w:keepNext w:val="true"/>
              <w:spacing w:before="100" w:after="0"/>
              <w:rPr>
                <w:b/>
              </w:rPr>
            </w:pPr>
            <w:r>
              <w:rPr>
                <w:b/>
              </w:rPr>
              <w:t>Priority Level</w:t>
            </w:r>
          </w:p>
        </w:tc>
        <w:tc>
          <w:p>
            <w:pPr>
              <w:spacing w:before="100" w:after="0"/>
            </w:pPr>
            <w:r>
              <w:rPr>
                <w:rFonts w:ascii="Calibri" w:hAnsi="Calibri"/>
                <w:color w:val="000000"/>
                <w:sz w:val="22"/>
              </w:rPr>
              <w:t xml:space="preserve">High</w:t>
            </w:r>
          </w:p>
        </w:tc>
      </w:tr>
      <w:tr>
        <w:trPr>
          <w:cantSplit w:val="true"/>
        </w:trPr>
        <w:tc>
          <w:tcPr>
            <w:vMerge/>
          </w:tcPr>
          <w:p/>
        </w:tc>
        <w:tc>
          <w:p>
            <w:pPr>
              <w:keepNext w:val="true"/>
              <w:spacing w:before="100" w:after="0"/>
              <w:rPr>
                <w:b/>
              </w:rPr>
            </w:pPr>
            <w:r>
              <w:rPr>
                <w:b/>
              </w:rPr>
              <w:t>Population</w:t>
            </w:r>
          </w:p>
        </w:tc>
        <w:tc>
          <w:p>
            <w:pPr>
              <w:spacing w:before="100" w:after="0"/>
            </w:pPr>
            <w:r>
              <w:rPr>
                <w:rFonts w:ascii="Calibri" w:hAnsi="Calibri"/>
                <w:color w:val="000000"/>
                <w:sz w:val="22"/>
              </w:rPr>
              <w:t xml:space="preserve">Extremely Low</w:t>
            </w:r>
            <w:r>
              <w:rPr>
                <w:rFonts w:ascii="Calibri" w:hAnsi="Calibri"/>
                <w:color w:val="000000"/>
                <w:sz w:val="22"/>
              </w:rPr>
              <w:br/>
              <w:t xml:space="preserve"/>
            </w:r>
            <w:r>
              <w:rPr>
                <w:rFonts w:ascii="Calibri" w:hAnsi="Calibri"/>
                <w:color w:val="000000"/>
                <w:sz w:val="22"/>
              </w:rPr>
              <w:t xml:space="preserve">Low</w:t>
            </w:r>
            <w:r>
              <w:rPr>
                <w:rFonts w:ascii="Calibri" w:hAnsi="Calibri"/>
                <w:color w:val="000000"/>
                <w:sz w:val="22"/>
              </w:rPr>
              <w:br/>
              <w:t xml:space="preserve"/>
            </w:r>
            <w:r>
              <w:rPr>
                <w:rFonts w:ascii="Calibri" w:hAnsi="Calibri"/>
                <w:color w:val="000000"/>
                <w:sz w:val="22"/>
              </w:rPr>
              <w:t xml:space="preserve">Large Families</w:t>
            </w:r>
            <w:r>
              <w:rPr>
                <w:rFonts w:ascii="Calibri" w:hAnsi="Calibri"/>
                <w:color w:val="000000"/>
                <w:sz w:val="22"/>
              </w:rPr>
              <w:br/>
              <w:t xml:space="preserve"/>
            </w:r>
            <w:r>
              <w:rPr>
                <w:rFonts w:ascii="Calibri" w:hAnsi="Calibri"/>
                <w:color w:val="000000"/>
                <w:sz w:val="22"/>
              </w:rPr>
              <w:t xml:space="preserve">Families with Children</w:t>
            </w:r>
            <w:r>
              <w:rPr>
                <w:rFonts w:ascii="Calibri" w:hAnsi="Calibri"/>
                <w:color w:val="000000"/>
                <w:sz w:val="22"/>
              </w:rPr>
              <w:br/>
              <w:t xml:space="preserve"/>
            </w:r>
            <w:r>
              <w:rPr>
                <w:rFonts w:ascii="Calibri" w:hAnsi="Calibri"/>
                <w:color w:val="000000"/>
                <w:sz w:val="22"/>
              </w:rPr>
              <w:t xml:space="preserve">Elderly</w:t>
            </w:r>
            <w:r>
              <w:rPr>
                <w:rFonts w:ascii="Calibri" w:hAnsi="Calibri"/>
                <w:color w:val="000000"/>
                <w:sz w:val="22"/>
              </w:rPr>
              <w:br/>
              <w:t xml:space="preserve"/>
            </w:r>
            <w:r>
              <w:rPr>
                <w:rFonts w:ascii="Calibri" w:hAnsi="Calibri"/>
                <w:color w:val="000000"/>
                <w:sz w:val="22"/>
              </w:rPr>
              <w:t xml:space="preserve">Chronic Homelessness</w:t>
            </w:r>
            <w:r>
              <w:rPr>
                <w:rFonts w:ascii="Calibri" w:hAnsi="Calibri"/>
                <w:color w:val="000000"/>
                <w:sz w:val="22"/>
              </w:rPr>
              <w:br/>
              <w:t xml:space="preserve"/>
            </w:r>
            <w:r>
              <w:rPr>
                <w:rFonts w:ascii="Calibri" w:hAnsi="Calibri"/>
                <w:color w:val="000000"/>
                <w:sz w:val="22"/>
              </w:rPr>
              <w:t xml:space="preserve">Individuals</w:t>
            </w:r>
            <w:r>
              <w:rPr>
                <w:rFonts w:ascii="Calibri" w:hAnsi="Calibri"/>
                <w:color w:val="000000"/>
                <w:sz w:val="22"/>
              </w:rPr>
              <w:br/>
              <w:t xml:space="preserve"/>
            </w:r>
            <w:r>
              <w:rPr>
                <w:rFonts w:ascii="Calibri" w:hAnsi="Calibri"/>
                <w:color w:val="000000"/>
                <w:sz w:val="22"/>
              </w:rPr>
              <w:t xml:space="preserve">Families with Children</w:t>
            </w:r>
            <w:r>
              <w:rPr>
                <w:rFonts w:ascii="Calibri" w:hAnsi="Calibri"/>
                <w:color w:val="000000"/>
                <w:sz w:val="22"/>
              </w:rPr>
              <w:br/>
              <w:t xml:space="preserve"/>
            </w:r>
            <w:r>
              <w:rPr>
                <w:rFonts w:ascii="Calibri" w:hAnsi="Calibri"/>
                <w:color w:val="000000"/>
                <w:sz w:val="22"/>
              </w:rPr>
              <w:t xml:space="preserve">Mentally Ill</w:t>
            </w:r>
            <w:r>
              <w:rPr>
                <w:rFonts w:ascii="Calibri" w:hAnsi="Calibri"/>
                <w:color w:val="000000"/>
                <w:sz w:val="22"/>
              </w:rPr>
              <w:br/>
              <w:t xml:space="preserve"/>
            </w:r>
            <w:r>
              <w:rPr>
                <w:rFonts w:ascii="Calibri" w:hAnsi="Calibri"/>
                <w:color w:val="000000"/>
                <w:sz w:val="22"/>
              </w:rPr>
              <w:t xml:space="preserve">Chronic Substance Abuse</w:t>
            </w:r>
            <w:r>
              <w:rPr>
                <w:rFonts w:ascii="Calibri" w:hAnsi="Calibri"/>
                <w:color w:val="000000"/>
                <w:sz w:val="22"/>
              </w:rPr>
              <w:br/>
              <w:t xml:space="preserve"/>
            </w:r>
            <w:r>
              <w:rPr>
                <w:rFonts w:ascii="Calibri" w:hAnsi="Calibri"/>
                <w:color w:val="000000"/>
                <w:sz w:val="22"/>
              </w:rPr>
              <w:t xml:space="preserve">veterans</w:t>
            </w:r>
            <w:r>
              <w:rPr>
                <w:rFonts w:ascii="Calibri" w:hAnsi="Calibri"/>
                <w:color w:val="000000"/>
                <w:sz w:val="22"/>
              </w:rPr>
              <w:br/>
              <w:t xml:space="preserve"/>
            </w:r>
            <w:r>
              <w:rPr>
                <w:rFonts w:ascii="Calibri" w:hAnsi="Calibri"/>
                <w:color w:val="000000"/>
                <w:sz w:val="22"/>
              </w:rPr>
              <w:t xml:space="preserve">Persons with HIV/AIDS</w:t>
            </w:r>
            <w:r>
              <w:rPr>
                <w:rFonts w:ascii="Calibri" w:hAnsi="Calibri"/>
                <w:color w:val="000000"/>
                <w:sz w:val="22"/>
              </w:rPr>
              <w:br/>
              <w:t xml:space="preserve"/>
            </w:r>
            <w:r>
              <w:rPr>
                <w:rFonts w:ascii="Calibri" w:hAnsi="Calibri"/>
                <w:color w:val="000000"/>
                <w:sz w:val="22"/>
              </w:rPr>
              <w:t xml:space="preserve">Victims of Domestic Violence</w:t>
            </w:r>
            <w:r>
              <w:rPr>
                <w:rFonts w:ascii="Calibri" w:hAnsi="Calibri"/>
                <w:color w:val="000000"/>
                <w:sz w:val="22"/>
              </w:rPr>
              <w:br/>
              <w:t xml:space="preserve"/>
            </w:r>
            <w:r>
              <w:rPr>
                <w:rFonts w:ascii="Calibri" w:hAnsi="Calibri"/>
                <w:color w:val="000000"/>
                <w:sz w:val="22"/>
              </w:rPr>
              <w:t xml:space="preserve">Unaccompanied Youth</w:t>
            </w:r>
            <w:r>
              <w:rPr>
                <w:rFonts w:ascii="Calibri" w:hAnsi="Calibri"/>
                <w:color w:val="000000"/>
                <w:sz w:val="22"/>
              </w:rPr>
              <w:br/>
              <w:t xml:space="preserve"/>
            </w:r>
            <w:r>
              <w:rPr>
                <w:rFonts w:ascii="Calibri" w:hAnsi="Calibri"/>
                <w:color w:val="000000"/>
                <w:sz w:val="22"/>
              </w:rPr>
              <w:t xml:space="preserve">Elderly</w:t>
            </w:r>
            <w:r>
              <w:rPr>
                <w:rFonts w:ascii="Calibri" w:hAnsi="Calibri"/>
                <w:color w:val="000000"/>
                <w:sz w:val="22"/>
              </w:rPr>
              <w:br/>
              <w:t xml:space="preserve"/>
            </w:r>
            <w:r>
              <w:rPr>
                <w:rFonts w:ascii="Calibri" w:hAnsi="Calibri"/>
                <w:color w:val="000000"/>
                <w:sz w:val="22"/>
              </w:rPr>
              <w:t xml:space="preserve">Frail Elderly</w:t>
            </w:r>
            <w:r>
              <w:rPr>
                <w:rFonts w:ascii="Calibri" w:hAnsi="Calibri"/>
                <w:color w:val="000000"/>
                <w:sz w:val="22"/>
              </w:rPr>
              <w:br/>
              <w:t xml:space="preserve"/>
            </w:r>
            <w:r>
              <w:rPr>
                <w:rFonts w:ascii="Calibri" w:hAnsi="Calibri"/>
                <w:color w:val="000000"/>
                <w:sz w:val="22"/>
              </w:rPr>
              <w:t xml:space="preserve">Persons with Mental Disabilities</w:t>
            </w:r>
            <w:r>
              <w:rPr>
                <w:rFonts w:ascii="Calibri" w:hAnsi="Calibri"/>
                <w:color w:val="000000"/>
                <w:sz w:val="22"/>
              </w:rPr>
              <w:br/>
              <w:t xml:space="preserve"/>
            </w:r>
            <w:r>
              <w:rPr>
                <w:rFonts w:ascii="Calibri" w:hAnsi="Calibri"/>
                <w:color w:val="000000"/>
                <w:sz w:val="22"/>
              </w:rPr>
              <w:t xml:space="preserve">Persons with Physical Disabilities</w:t>
            </w:r>
            <w:r>
              <w:rPr>
                <w:rFonts w:ascii="Calibri" w:hAnsi="Calibri"/>
                <w:color w:val="000000"/>
                <w:sz w:val="22"/>
              </w:rPr>
              <w:br/>
              <w:t xml:space="preserve"/>
            </w:r>
            <w:r>
              <w:rPr>
                <w:rFonts w:ascii="Calibri" w:hAnsi="Calibri"/>
                <w:color w:val="000000"/>
                <w:sz w:val="22"/>
              </w:rPr>
              <w:t xml:space="preserve">Persons with Developmental Disabilities</w:t>
            </w:r>
            <w:r>
              <w:rPr>
                <w:rFonts w:ascii="Calibri" w:hAnsi="Calibri"/>
                <w:color w:val="000000"/>
                <w:sz w:val="22"/>
              </w:rPr>
              <w:br/>
              <w:t xml:space="preserve"/>
            </w:r>
            <w:r>
              <w:rPr>
                <w:rFonts w:ascii="Calibri" w:hAnsi="Calibri"/>
                <w:color w:val="000000"/>
                <w:sz w:val="22"/>
              </w:rPr>
              <w:t xml:space="preserve">Persons with Alcohol or Other Addictions</w:t>
            </w:r>
            <w:r>
              <w:rPr>
                <w:rFonts w:ascii="Calibri" w:hAnsi="Calibri"/>
                <w:color w:val="000000"/>
                <w:sz w:val="22"/>
              </w:rPr>
              <w:br/>
              <w:t xml:space="preserve"/>
            </w:r>
            <w:r>
              <w:rPr>
                <w:rFonts w:ascii="Calibri" w:hAnsi="Calibri"/>
                <w:color w:val="000000"/>
                <w:sz w:val="22"/>
              </w:rPr>
              <w:t xml:space="preserve">Persons with HIV/AIDS and their Families</w:t>
            </w:r>
            <w:r>
              <w:rPr>
                <w:rFonts w:ascii="Calibri" w:hAnsi="Calibri"/>
                <w:color w:val="000000"/>
                <w:sz w:val="22"/>
              </w:rPr>
              <w:br/>
              <w:t xml:space="preserve"/>
            </w:r>
            <w:r>
              <w:rPr>
                <w:rFonts w:ascii="Calibri" w:hAnsi="Calibri"/>
                <w:color w:val="000000"/>
                <w:sz w:val="22"/>
              </w:rPr>
              <w:t xml:space="preserve">Victims of Domestic Violence</w:t>
            </w:r>
          </w:p>
        </w:tc>
      </w:tr>
      <w:tr>
        <w:trPr>
          <w:cantSplit w:val="true"/>
        </w:trPr>
        <w:tc>
          <w:tcPr>
            <w:vMerge/>
          </w:tcPr>
          <w:p/>
        </w:tc>
        <w:tc>
          <w:p>
            <w:pPr>
              <w:keepNext w:val="true"/>
              <w:spacing w:before="100" w:after="0"/>
              <w:rPr>
                <w:b/>
              </w:rPr>
            </w:pPr>
            <w:r>
              <w:rPr>
                <w:b/>
              </w:rPr>
              <w:t>Geographic Areas Affected</w:t>
            </w:r>
          </w:p>
        </w:tc>
        <w:tc>
          <w:p>
            <w:pPr>
              <w:spacing w:before="100" w:after="0"/>
            </w:pPr>
            <w:r>
              <w:rPr>
                <w:rFonts w:ascii="Calibri" w:hAnsi="Calibri"/>
                <w:color w:val="000000"/>
                <w:sz w:val="22"/>
              </w:rPr>
              <w:t xml:space="preserve">Salt Lake County</w:t>
            </w:r>
          </w:p>
        </w:tc>
      </w:tr>
      <w:tr>
        <w:trPr>
          <w:cantSplit w:val="true"/>
        </w:trPr>
        <w:tc>
          <w:tcPr>
            <w:vMerge/>
          </w:tcPr>
          <w:p/>
        </w:tc>
        <w:tc>
          <w:p>
            <w:pPr>
              <w:keepNext w:val="true"/>
              <w:spacing w:before="100" w:after="0"/>
              <w:rPr>
                <w:b/>
              </w:rPr>
            </w:pPr>
            <w:r>
              <w:rPr>
                <w:b/>
              </w:rPr>
              <w:t>Associated Goals</w:t>
            </w:r>
          </w:p>
        </w:tc>
        <w:tc>
          <w:p>
            <w:pPr>
              <w:spacing w:before="100" w:after="0"/>
            </w:pPr>
            <w:r>
              <w:rPr>
                <w:rFonts w:ascii="Calibri" w:hAnsi="Calibri"/>
                <w:color w:val="000000"/>
                <w:sz w:val="22"/>
              </w:rPr>
              <w:t xml:space="preserve">Rental Housing</w:t>
            </w:r>
            <w:r>
              <w:rPr>
                <w:rFonts w:ascii="Calibri" w:hAnsi="Calibri"/>
                <w:color w:val="000000"/>
                <w:sz w:val="22"/>
              </w:rPr>
              <w:br/>
              <w:t xml:space="preserve"/>
            </w:r>
            <w:r>
              <w:rPr>
                <w:rFonts w:ascii="Calibri" w:hAnsi="Calibri"/>
                <w:color w:val="000000"/>
                <w:sz w:val="22"/>
              </w:rPr>
              <w:t xml:space="preserve">Administration of HOME, ESG and CDBG</w:t>
            </w:r>
          </w:p>
        </w:tc>
      </w:tr>
      <w:tr>
        <w:trPr>
          <w:cantSplit w:val="true"/>
        </w:trPr>
        <w:tc>
          <w:tcPr>
            <w:vMerge/>
          </w:tcPr>
          <w:p/>
        </w:tc>
        <w:tc>
          <w:p>
            <w:pPr>
              <w:keepNext w:val="true"/>
              <w:spacing w:before="100" w:after="0"/>
              <w:rPr>
                <w:b/>
              </w:rPr>
            </w:pPr>
            <w:r>
              <w:rPr>
                <w:b/>
              </w:rPr>
              <w:t>Description</w:t>
            </w:r>
          </w:p>
        </w:tc>
        <w:tc>
          <w:p>
            <w:pPr>
              <w:spacing w:before="100" w:after="0"/>
            </w:pPr>
            <w:r>
              <w:rPr>
                <w:rFonts w:ascii="Calibri" w:hAnsi="Calibri"/>
                <w:color w:val="000000"/>
                <w:sz w:val="22"/>
              </w:rPr>
              <w:t xml:space="preserve">There is a critical shortage of affordable housing units for very low to low income households. One of the main priorities will be to provide funding to rental housing developments which providde housing affordable to households below 50% of AMI</w:t>
            </w:r>
          </w:p>
        </w:tc>
      </w:tr>
      <w:tr>
        <w:trPr>
          <w:cantSplit w:val="true"/>
        </w:trPr>
        <w:tc>
          <w:tcPr>
            <w:vMerge/>
          </w:tcPr>
          <w:p/>
        </w:tc>
        <w:tc>
          <w:p>
            <w:pPr>
              <w:keepNext w:val="true"/>
              <w:spacing w:before="100" w:after="0"/>
              <w:rPr>
                <w:b/>
              </w:rPr>
            </w:pPr>
            <w:r>
              <w:rPr>
                <w:b/>
              </w:rPr>
              <w:t>Basis for Relative Priority</w:t>
            </w:r>
          </w:p>
        </w:tc>
        <w:tc>
          <w:p>
            <w:pPr>
              <w:spacing w:before="100" w:after="0"/>
            </w:pPr>
            <w:r>
              <w:rPr>
                <w:rFonts w:ascii="Calibri" w:hAnsi="Calibri"/>
                <w:color w:val="000000"/>
                <w:sz w:val="22"/>
              </w:rPr>
              <w:t xml:space="preserve">The data shows a shortage of housing affordable to households at or below 50% of AMI</w:t>
            </w:r>
          </w:p>
        </w:tc>
      </w:tr>
      <w:tr>
        <w:trPr>
          <w:cantSplit w:val="true"/>
        </w:trPr>
        <w:tc>
          <w:tcPr>
            <w:vMerge w:val="restart"/>
          </w:tcPr>
          <w:p>
            <w:r>
              <w:rPr>
                <w:b w:val="true"/>
              </w:rPr>
              <w:t>3</w:t>
            </w:r>
          </w:p>
        </w:tc>
        <w:tc>
          <w:p>
            <w:pPr>
              <w:keepNext w:val="true"/>
              <w:spacing w:before="100" w:after="0"/>
              <w:rPr>
                <w:b/>
              </w:rPr>
            </w:pPr>
            <w:r>
              <w:rPr>
                <w:b/>
              </w:rPr>
              <w:t>Priority Need Name</w:t>
            </w:r>
          </w:p>
        </w:tc>
        <w:tc>
          <w:p>
            <w:pPr>
              <w:spacing w:before="100" w:after="0"/>
            </w:pPr>
            <w:r>
              <w:rPr>
                <w:rFonts w:ascii="Calibri" w:hAnsi="Calibri"/>
                <w:color w:val="000000"/>
                <w:sz w:val="22"/>
              </w:rPr>
              <w:t xml:space="preserve">Rental assistance</w:t>
            </w:r>
          </w:p>
        </w:tc>
      </w:tr>
      <w:tr>
        <w:trPr>
          <w:cantSplit w:val="true"/>
        </w:trPr>
        <w:tc>
          <w:tcPr>
            <w:vMerge/>
          </w:tcPr>
          <w:p/>
        </w:tc>
        <w:tc>
          <w:p>
            <w:pPr>
              <w:keepNext w:val="true"/>
              <w:spacing w:before="100" w:after="0"/>
              <w:rPr>
                <w:b/>
              </w:rPr>
            </w:pPr>
            <w:r>
              <w:rPr>
                <w:b/>
              </w:rPr>
              <w:t>Priority Level</w:t>
            </w:r>
          </w:p>
        </w:tc>
        <w:tc>
          <w:p>
            <w:pPr>
              <w:spacing w:before="100" w:after="0"/>
            </w:pPr>
            <w:r>
              <w:rPr>
                <w:rFonts w:ascii="Calibri" w:hAnsi="Calibri"/>
                <w:color w:val="000000"/>
                <w:sz w:val="22"/>
              </w:rPr>
              <w:t xml:space="preserve">High</w:t>
            </w:r>
          </w:p>
        </w:tc>
      </w:tr>
      <w:tr>
        <w:trPr>
          <w:cantSplit w:val="true"/>
        </w:trPr>
        <w:tc>
          <w:tcPr>
            <w:vMerge/>
          </w:tcPr>
          <w:p/>
        </w:tc>
        <w:tc>
          <w:p>
            <w:pPr>
              <w:keepNext w:val="true"/>
              <w:spacing w:before="100" w:after="0"/>
              <w:rPr>
                <w:b/>
              </w:rPr>
            </w:pPr>
            <w:r>
              <w:rPr>
                <w:b/>
              </w:rPr>
              <w:t>Population</w:t>
            </w:r>
          </w:p>
        </w:tc>
        <w:tc>
          <w:p>
            <w:pPr>
              <w:spacing w:before="100" w:after="0"/>
            </w:pPr>
            <w:r>
              <w:rPr>
                <w:rFonts w:ascii="Calibri" w:hAnsi="Calibri"/>
                <w:color w:val="000000"/>
                <w:sz w:val="22"/>
              </w:rPr>
              <w:t xml:space="preserve">Extremely Low</w:t>
            </w:r>
            <w:r>
              <w:rPr>
                <w:rFonts w:ascii="Calibri" w:hAnsi="Calibri"/>
                <w:color w:val="000000"/>
                <w:sz w:val="22"/>
              </w:rPr>
              <w:br/>
              <w:t xml:space="preserve"/>
            </w:r>
            <w:r>
              <w:rPr>
                <w:rFonts w:ascii="Calibri" w:hAnsi="Calibri"/>
                <w:color w:val="000000"/>
                <w:sz w:val="22"/>
              </w:rPr>
              <w:t xml:space="preserve">Low</w:t>
            </w:r>
            <w:r>
              <w:rPr>
                <w:rFonts w:ascii="Calibri" w:hAnsi="Calibri"/>
                <w:color w:val="000000"/>
                <w:sz w:val="22"/>
              </w:rPr>
              <w:br/>
              <w:t xml:space="preserve"/>
            </w:r>
            <w:r>
              <w:rPr>
                <w:rFonts w:ascii="Calibri" w:hAnsi="Calibri"/>
                <w:color w:val="000000"/>
                <w:sz w:val="22"/>
              </w:rPr>
              <w:t xml:space="preserve">Moderate</w:t>
            </w:r>
            <w:r>
              <w:rPr>
                <w:rFonts w:ascii="Calibri" w:hAnsi="Calibri"/>
                <w:color w:val="000000"/>
                <w:sz w:val="22"/>
              </w:rPr>
              <w:br/>
              <w:t xml:space="preserve"/>
            </w:r>
            <w:r>
              <w:rPr>
                <w:rFonts w:ascii="Calibri" w:hAnsi="Calibri"/>
                <w:color w:val="000000"/>
                <w:sz w:val="22"/>
              </w:rPr>
              <w:t xml:space="preserve">Large Families</w:t>
            </w:r>
            <w:r>
              <w:rPr>
                <w:rFonts w:ascii="Calibri" w:hAnsi="Calibri"/>
                <w:color w:val="000000"/>
                <w:sz w:val="22"/>
              </w:rPr>
              <w:br/>
              <w:t xml:space="preserve"/>
            </w:r>
            <w:r>
              <w:rPr>
                <w:rFonts w:ascii="Calibri" w:hAnsi="Calibri"/>
                <w:color w:val="000000"/>
                <w:sz w:val="22"/>
              </w:rPr>
              <w:t xml:space="preserve">Families with Children</w:t>
            </w:r>
            <w:r>
              <w:rPr>
                <w:rFonts w:ascii="Calibri" w:hAnsi="Calibri"/>
                <w:color w:val="000000"/>
                <w:sz w:val="22"/>
              </w:rPr>
              <w:br/>
              <w:t xml:space="preserve"/>
            </w:r>
            <w:r>
              <w:rPr>
                <w:rFonts w:ascii="Calibri" w:hAnsi="Calibri"/>
                <w:color w:val="000000"/>
                <w:sz w:val="22"/>
              </w:rPr>
              <w:t xml:space="preserve">Elderly</w:t>
            </w:r>
            <w:r>
              <w:rPr>
                <w:rFonts w:ascii="Calibri" w:hAnsi="Calibri"/>
                <w:color w:val="000000"/>
                <w:sz w:val="22"/>
              </w:rPr>
              <w:br/>
              <w:t xml:space="preserve"/>
            </w:r>
            <w:r>
              <w:rPr>
                <w:rFonts w:ascii="Calibri" w:hAnsi="Calibri"/>
                <w:color w:val="000000"/>
                <w:sz w:val="22"/>
              </w:rPr>
              <w:t xml:space="preserve">Chronic Homelessness</w:t>
            </w:r>
            <w:r>
              <w:rPr>
                <w:rFonts w:ascii="Calibri" w:hAnsi="Calibri"/>
                <w:color w:val="000000"/>
                <w:sz w:val="22"/>
              </w:rPr>
              <w:br/>
              <w:t xml:space="preserve"/>
            </w:r>
            <w:r>
              <w:rPr>
                <w:rFonts w:ascii="Calibri" w:hAnsi="Calibri"/>
                <w:color w:val="000000"/>
                <w:sz w:val="22"/>
              </w:rPr>
              <w:t xml:space="preserve">Individuals</w:t>
            </w:r>
            <w:r>
              <w:rPr>
                <w:rFonts w:ascii="Calibri" w:hAnsi="Calibri"/>
                <w:color w:val="000000"/>
                <w:sz w:val="22"/>
              </w:rPr>
              <w:br/>
              <w:t xml:space="preserve"/>
            </w:r>
            <w:r>
              <w:rPr>
                <w:rFonts w:ascii="Calibri" w:hAnsi="Calibri"/>
                <w:color w:val="000000"/>
                <w:sz w:val="22"/>
              </w:rPr>
              <w:t xml:space="preserve">Families with Children</w:t>
            </w:r>
            <w:r>
              <w:rPr>
                <w:rFonts w:ascii="Calibri" w:hAnsi="Calibri"/>
                <w:color w:val="000000"/>
                <w:sz w:val="22"/>
              </w:rPr>
              <w:br/>
              <w:t xml:space="preserve"/>
            </w:r>
            <w:r>
              <w:rPr>
                <w:rFonts w:ascii="Calibri" w:hAnsi="Calibri"/>
                <w:color w:val="000000"/>
                <w:sz w:val="22"/>
              </w:rPr>
              <w:t xml:space="preserve">Mentally Ill</w:t>
            </w:r>
            <w:r>
              <w:rPr>
                <w:rFonts w:ascii="Calibri" w:hAnsi="Calibri"/>
                <w:color w:val="000000"/>
                <w:sz w:val="22"/>
              </w:rPr>
              <w:br/>
              <w:t xml:space="preserve"/>
            </w:r>
            <w:r>
              <w:rPr>
                <w:rFonts w:ascii="Calibri" w:hAnsi="Calibri"/>
                <w:color w:val="000000"/>
                <w:sz w:val="22"/>
              </w:rPr>
              <w:t xml:space="preserve">Chronic Substance Abuse</w:t>
            </w:r>
            <w:r>
              <w:rPr>
                <w:rFonts w:ascii="Calibri" w:hAnsi="Calibri"/>
                <w:color w:val="000000"/>
                <w:sz w:val="22"/>
              </w:rPr>
              <w:br/>
              <w:t xml:space="preserve"/>
            </w:r>
            <w:r>
              <w:rPr>
                <w:rFonts w:ascii="Calibri" w:hAnsi="Calibri"/>
                <w:color w:val="000000"/>
                <w:sz w:val="22"/>
              </w:rPr>
              <w:t xml:space="preserve">veterans</w:t>
            </w:r>
            <w:r>
              <w:rPr>
                <w:rFonts w:ascii="Calibri" w:hAnsi="Calibri"/>
                <w:color w:val="000000"/>
                <w:sz w:val="22"/>
              </w:rPr>
              <w:br/>
              <w:t xml:space="preserve"/>
            </w:r>
            <w:r>
              <w:rPr>
                <w:rFonts w:ascii="Calibri" w:hAnsi="Calibri"/>
                <w:color w:val="000000"/>
                <w:sz w:val="22"/>
              </w:rPr>
              <w:t xml:space="preserve">Persons with HIV/AIDS</w:t>
            </w:r>
            <w:r>
              <w:rPr>
                <w:rFonts w:ascii="Calibri" w:hAnsi="Calibri"/>
                <w:color w:val="000000"/>
                <w:sz w:val="22"/>
              </w:rPr>
              <w:br/>
              <w:t xml:space="preserve"/>
            </w:r>
            <w:r>
              <w:rPr>
                <w:rFonts w:ascii="Calibri" w:hAnsi="Calibri"/>
                <w:color w:val="000000"/>
                <w:sz w:val="22"/>
              </w:rPr>
              <w:t xml:space="preserve">Victims of Domestic Violence</w:t>
            </w:r>
            <w:r>
              <w:rPr>
                <w:rFonts w:ascii="Calibri" w:hAnsi="Calibri"/>
                <w:color w:val="000000"/>
                <w:sz w:val="22"/>
              </w:rPr>
              <w:br/>
              <w:t xml:space="preserve"/>
            </w:r>
            <w:r>
              <w:rPr>
                <w:rFonts w:ascii="Calibri" w:hAnsi="Calibri"/>
                <w:color w:val="000000"/>
                <w:sz w:val="22"/>
              </w:rPr>
              <w:t xml:space="preserve">Unaccompanied Youth</w:t>
            </w:r>
            <w:r>
              <w:rPr>
                <w:rFonts w:ascii="Calibri" w:hAnsi="Calibri"/>
                <w:color w:val="000000"/>
                <w:sz w:val="22"/>
              </w:rPr>
              <w:br/>
              <w:t xml:space="preserve"/>
            </w:r>
            <w:r>
              <w:rPr>
                <w:rFonts w:ascii="Calibri" w:hAnsi="Calibri"/>
                <w:color w:val="000000"/>
                <w:sz w:val="22"/>
              </w:rPr>
              <w:t xml:space="preserve">Elderly</w:t>
            </w:r>
            <w:r>
              <w:rPr>
                <w:rFonts w:ascii="Calibri" w:hAnsi="Calibri"/>
                <w:color w:val="000000"/>
                <w:sz w:val="22"/>
              </w:rPr>
              <w:br/>
              <w:t xml:space="preserve"/>
            </w:r>
            <w:r>
              <w:rPr>
                <w:rFonts w:ascii="Calibri" w:hAnsi="Calibri"/>
                <w:color w:val="000000"/>
                <w:sz w:val="22"/>
              </w:rPr>
              <w:t xml:space="preserve">Frail Elderly</w:t>
            </w:r>
            <w:r>
              <w:rPr>
                <w:rFonts w:ascii="Calibri" w:hAnsi="Calibri"/>
                <w:color w:val="000000"/>
                <w:sz w:val="22"/>
              </w:rPr>
              <w:br/>
              <w:t xml:space="preserve"/>
            </w:r>
            <w:r>
              <w:rPr>
                <w:rFonts w:ascii="Calibri" w:hAnsi="Calibri"/>
                <w:color w:val="000000"/>
                <w:sz w:val="22"/>
              </w:rPr>
              <w:t xml:space="preserve">Persons with Mental Disabilities</w:t>
            </w:r>
            <w:r>
              <w:rPr>
                <w:rFonts w:ascii="Calibri" w:hAnsi="Calibri"/>
                <w:color w:val="000000"/>
                <w:sz w:val="22"/>
              </w:rPr>
              <w:br/>
              <w:t xml:space="preserve"/>
            </w:r>
            <w:r>
              <w:rPr>
                <w:rFonts w:ascii="Calibri" w:hAnsi="Calibri"/>
                <w:color w:val="000000"/>
                <w:sz w:val="22"/>
              </w:rPr>
              <w:t xml:space="preserve">Persons with Physical Disabilities</w:t>
            </w:r>
            <w:r>
              <w:rPr>
                <w:rFonts w:ascii="Calibri" w:hAnsi="Calibri"/>
                <w:color w:val="000000"/>
                <w:sz w:val="22"/>
              </w:rPr>
              <w:br/>
              <w:t xml:space="preserve"/>
            </w:r>
            <w:r>
              <w:rPr>
                <w:rFonts w:ascii="Calibri" w:hAnsi="Calibri"/>
                <w:color w:val="000000"/>
                <w:sz w:val="22"/>
              </w:rPr>
              <w:t xml:space="preserve">Persons with Developmental Disabilities</w:t>
            </w:r>
            <w:r>
              <w:rPr>
                <w:rFonts w:ascii="Calibri" w:hAnsi="Calibri"/>
                <w:color w:val="000000"/>
                <w:sz w:val="22"/>
              </w:rPr>
              <w:br/>
              <w:t xml:space="preserve"/>
            </w:r>
            <w:r>
              <w:rPr>
                <w:rFonts w:ascii="Calibri" w:hAnsi="Calibri"/>
                <w:color w:val="000000"/>
                <w:sz w:val="22"/>
              </w:rPr>
              <w:t xml:space="preserve">Persons with Alcohol or Other Addictions</w:t>
            </w:r>
            <w:r>
              <w:rPr>
                <w:rFonts w:ascii="Calibri" w:hAnsi="Calibri"/>
                <w:color w:val="000000"/>
                <w:sz w:val="22"/>
              </w:rPr>
              <w:br/>
              <w:t xml:space="preserve"/>
            </w:r>
            <w:r>
              <w:rPr>
                <w:rFonts w:ascii="Calibri" w:hAnsi="Calibri"/>
                <w:color w:val="000000"/>
                <w:sz w:val="22"/>
              </w:rPr>
              <w:t xml:space="preserve">Persons with HIV/AIDS and their Families</w:t>
            </w:r>
            <w:r>
              <w:rPr>
                <w:rFonts w:ascii="Calibri" w:hAnsi="Calibri"/>
                <w:color w:val="000000"/>
                <w:sz w:val="22"/>
              </w:rPr>
              <w:br/>
              <w:t xml:space="preserve"/>
            </w:r>
            <w:r>
              <w:rPr>
                <w:rFonts w:ascii="Calibri" w:hAnsi="Calibri"/>
                <w:color w:val="000000"/>
                <w:sz w:val="22"/>
              </w:rPr>
              <w:t xml:space="preserve">Victims of Domestic Violence</w:t>
            </w:r>
          </w:p>
        </w:tc>
      </w:tr>
      <w:tr>
        <w:trPr>
          <w:cantSplit w:val="true"/>
        </w:trPr>
        <w:tc>
          <w:tcPr>
            <w:vMerge/>
          </w:tcPr>
          <w:p/>
        </w:tc>
        <w:tc>
          <w:p>
            <w:pPr>
              <w:keepNext w:val="true"/>
              <w:spacing w:before="100" w:after="0"/>
              <w:rPr>
                <w:b/>
              </w:rPr>
            </w:pPr>
            <w:r>
              <w:rPr>
                <w:b/>
              </w:rPr>
              <w:t>Geographic Areas Affected</w:t>
            </w:r>
          </w:p>
        </w:tc>
        <w:tc>
          <w:p>
            <w:pPr>
              <w:spacing w:before="100" w:after="0"/>
            </w:pPr>
            <w:r>
              <w:rPr>
                <w:rFonts w:ascii="Calibri" w:hAnsi="Calibri"/>
                <w:color w:val="000000"/>
                <w:sz w:val="22"/>
              </w:rPr>
              <w:t xml:space="preserve">Salt Lake County</w:t>
            </w:r>
          </w:p>
        </w:tc>
      </w:tr>
      <w:tr>
        <w:trPr>
          <w:cantSplit w:val="true"/>
        </w:trPr>
        <w:tc>
          <w:tcPr>
            <w:vMerge/>
          </w:tcPr>
          <w:p/>
        </w:tc>
        <w:tc>
          <w:p>
            <w:pPr>
              <w:keepNext w:val="true"/>
              <w:spacing w:before="100" w:after="0"/>
              <w:rPr>
                <w:b/>
              </w:rPr>
            </w:pPr>
            <w:r>
              <w:rPr>
                <w:b/>
              </w:rPr>
              <w:t>Associated Goals</w:t>
            </w:r>
          </w:p>
        </w:tc>
        <w:tc>
          <w:p>
            <w:pPr>
              <w:spacing w:before="100" w:after="0"/>
            </w:pPr>
            <w:r>
              <w:rPr>
                <w:rFonts w:ascii="Calibri" w:hAnsi="Calibri"/>
                <w:color w:val="000000"/>
                <w:sz w:val="22"/>
              </w:rPr>
              <w:t xml:space="preserve">Rental Assistance</w:t>
            </w:r>
            <w:r>
              <w:rPr>
                <w:rFonts w:ascii="Calibri" w:hAnsi="Calibri"/>
                <w:color w:val="000000"/>
                <w:sz w:val="22"/>
              </w:rPr>
              <w:br/>
              <w:t xml:space="preserve"/>
            </w:r>
            <w:r>
              <w:rPr>
                <w:rFonts w:ascii="Calibri" w:hAnsi="Calibri"/>
                <w:color w:val="000000"/>
                <w:sz w:val="22"/>
              </w:rPr>
              <w:t xml:space="preserve">Administration of HOME, ESG and CDBG</w:t>
            </w:r>
          </w:p>
        </w:tc>
      </w:tr>
      <w:tr>
        <w:trPr>
          <w:cantSplit w:val="true"/>
        </w:trPr>
        <w:tc>
          <w:tcPr>
            <w:vMerge/>
          </w:tcPr>
          <w:p/>
        </w:tc>
        <w:tc>
          <w:p>
            <w:pPr>
              <w:keepNext w:val="true"/>
              <w:spacing w:before="100" w:after="0"/>
              <w:rPr>
                <w:b/>
              </w:rPr>
            </w:pPr>
            <w:r>
              <w:rPr>
                <w:b/>
              </w:rPr>
              <w:t>Description</w:t>
            </w:r>
          </w:p>
        </w:tc>
        <w:tc>
          <w:p>
            <w:pPr>
              <w:spacing w:before="100" w:after="0"/>
            </w:pPr>
            <w:r>
              <w:rPr>
                <w:rFonts w:ascii="Calibri" w:hAnsi="Calibri"/>
                <w:color w:val="000000"/>
                <w:sz w:val="22"/>
              </w:rPr>
              <w:t xml:space="preserve">One od the main impacts of COVID 19 is a large number of people have been laid, as of May 2020 over 100,000 people have lost their jobs in the previous two months. There is a tremeindous need for short term rental assistance this need will likely persist throughout the next five years.</w:t>
            </w:r>
          </w:p>
        </w:tc>
      </w:tr>
      <w:tr>
        <w:trPr>
          <w:cantSplit w:val="true"/>
        </w:trPr>
        <w:tc>
          <w:tcPr>
            <w:vMerge/>
          </w:tcPr>
          <w:p/>
        </w:tc>
        <w:tc>
          <w:p>
            <w:pPr>
              <w:keepNext w:val="true"/>
              <w:spacing w:before="100" w:after="0"/>
              <w:rPr>
                <w:b/>
              </w:rPr>
            </w:pPr>
            <w:r>
              <w:rPr>
                <w:b/>
              </w:rPr>
              <w:t>Basis for Relative Priority</w:t>
            </w:r>
          </w:p>
        </w:tc>
        <w:tc>
          <w:p>
            <w:pPr>
              <w:spacing w:before="100" w:after="0"/>
            </w:pPr>
            <w:r>
              <w:rPr>
                <w:rFonts w:ascii="Calibri" w:hAnsi="Calibri"/>
                <w:color w:val="000000"/>
                <w:sz w:val="22"/>
              </w:rPr>
              <w:t xml:space="preserve">HOME and ESG funds will be committed to Tenant based rental assistance programs to provide short term rental assistance along with rapid re housing to prevent and reduce homelessneess </w:t>
            </w:r>
          </w:p>
        </w:tc>
      </w:tr>
      <w:tr>
        <w:trPr>
          <w:cantSplit w:val="true"/>
        </w:trPr>
        <w:tc>
          <w:tcPr>
            <w:vMerge w:val="restart"/>
          </w:tcPr>
          <w:p>
            <w:r>
              <w:rPr>
                <w:b w:val="true"/>
              </w:rPr>
              <w:t>4</w:t>
            </w:r>
          </w:p>
        </w:tc>
        <w:tc>
          <w:p>
            <w:pPr>
              <w:keepNext w:val="true"/>
              <w:spacing w:before="100" w:after="0"/>
              <w:rPr>
                <w:b/>
              </w:rPr>
            </w:pPr>
            <w:r>
              <w:rPr>
                <w:b/>
              </w:rPr>
              <w:t>Priority Need Name</w:t>
            </w:r>
          </w:p>
        </w:tc>
        <w:tc>
          <w:p>
            <w:pPr>
              <w:spacing w:before="100" w:after="0"/>
            </w:pPr>
            <w:r>
              <w:rPr>
                <w:rFonts w:ascii="Calibri" w:hAnsi="Calibri"/>
                <w:color w:val="000000"/>
                <w:sz w:val="22"/>
              </w:rPr>
              <w:t xml:space="preserve">Homeownership</w:t>
            </w:r>
          </w:p>
        </w:tc>
      </w:tr>
      <w:tr>
        <w:trPr>
          <w:cantSplit w:val="true"/>
        </w:trPr>
        <w:tc>
          <w:tcPr>
            <w:vMerge/>
          </w:tcPr>
          <w:p/>
        </w:tc>
        <w:tc>
          <w:p>
            <w:pPr>
              <w:keepNext w:val="true"/>
              <w:spacing w:before="100" w:after="0"/>
              <w:rPr>
                <w:b/>
              </w:rPr>
            </w:pPr>
            <w:r>
              <w:rPr>
                <w:b/>
              </w:rPr>
              <w:t>Priority Level</w:t>
            </w:r>
          </w:p>
        </w:tc>
        <w:tc>
          <w:p>
            <w:pPr>
              <w:spacing w:before="100" w:after="0"/>
            </w:pPr>
            <w:r>
              <w:rPr>
                <w:rFonts w:ascii="Calibri" w:hAnsi="Calibri"/>
                <w:color w:val="000000"/>
                <w:sz w:val="22"/>
              </w:rPr>
              <w:t xml:space="preserve">High</w:t>
            </w:r>
          </w:p>
        </w:tc>
      </w:tr>
      <w:tr>
        <w:trPr>
          <w:cantSplit w:val="true"/>
        </w:trPr>
        <w:tc>
          <w:tcPr>
            <w:vMerge/>
          </w:tcPr>
          <w:p/>
        </w:tc>
        <w:tc>
          <w:p>
            <w:pPr>
              <w:keepNext w:val="true"/>
              <w:spacing w:before="100" w:after="0"/>
              <w:rPr>
                <w:b/>
              </w:rPr>
            </w:pPr>
            <w:r>
              <w:rPr>
                <w:b/>
              </w:rPr>
              <w:t>Population</w:t>
            </w:r>
          </w:p>
        </w:tc>
        <w:tc>
          <w:p>
            <w:pPr>
              <w:spacing w:before="100" w:after="0"/>
            </w:pPr>
            <w:r>
              <w:rPr>
                <w:rFonts w:ascii="Calibri" w:hAnsi="Calibri"/>
                <w:color w:val="000000"/>
                <w:sz w:val="22"/>
              </w:rPr>
              <w:t xml:space="preserve">Extremely Low</w:t>
            </w:r>
            <w:r>
              <w:rPr>
                <w:rFonts w:ascii="Calibri" w:hAnsi="Calibri"/>
                <w:color w:val="000000"/>
                <w:sz w:val="22"/>
              </w:rPr>
              <w:br/>
              <w:t xml:space="preserve"/>
            </w:r>
            <w:r>
              <w:rPr>
                <w:rFonts w:ascii="Calibri" w:hAnsi="Calibri"/>
                <w:color w:val="000000"/>
                <w:sz w:val="22"/>
              </w:rPr>
              <w:t xml:space="preserve">Low</w:t>
            </w:r>
            <w:r>
              <w:rPr>
                <w:rFonts w:ascii="Calibri" w:hAnsi="Calibri"/>
                <w:color w:val="000000"/>
                <w:sz w:val="22"/>
              </w:rPr>
              <w:br/>
              <w:t xml:space="preserve"/>
            </w:r>
            <w:r>
              <w:rPr>
                <w:rFonts w:ascii="Calibri" w:hAnsi="Calibri"/>
                <w:color w:val="000000"/>
                <w:sz w:val="22"/>
              </w:rPr>
              <w:t xml:space="preserve">Moderate</w:t>
            </w:r>
            <w:r>
              <w:rPr>
                <w:rFonts w:ascii="Calibri" w:hAnsi="Calibri"/>
                <w:color w:val="000000"/>
                <w:sz w:val="22"/>
              </w:rPr>
              <w:br/>
              <w:t xml:space="preserve"/>
            </w:r>
            <w:r>
              <w:rPr>
                <w:rFonts w:ascii="Calibri" w:hAnsi="Calibri"/>
                <w:color w:val="000000"/>
                <w:sz w:val="22"/>
              </w:rPr>
              <w:t xml:space="preserve">Large Families</w:t>
            </w:r>
            <w:r>
              <w:rPr>
                <w:rFonts w:ascii="Calibri" w:hAnsi="Calibri"/>
                <w:color w:val="000000"/>
                <w:sz w:val="22"/>
              </w:rPr>
              <w:br/>
              <w:t xml:space="preserve"/>
            </w:r>
            <w:r>
              <w:rPr>
                <w:rFonts w:ascii="Calibri" w:hAnsi="Calibri"/>
                <w:color w:val="000000"/>
                <w:sz w:val="22"/>
              </w:rPr>
              <w:t xml:space="preserve">Families with Children</w:t>
            </w:r>
            <w:r>
              <w:rPr>
                <w:rFonts w:ascii="Calibri" w:hAnsi="Calibri"/>
                <w:color w:val="000000"/>
                <w:sz w:val="22"/>
              </w:rPr>
              <w:br/>
              <w:t xml:space="preserve"/>
            </w:r>
            <w:r>
              <w:rPr>
                <w:rFonts w:ascii="Calibri" w:hAnsi="Calibri"/>
                <w:color w:val="000000"/>
                <w:sz w:val="22"/>
              </w:rPr>
              <w:t xml:space="preserve">Elderly</w:t>
            </w:r>
            <w:r>
              <w:rPr>
                <w:rFonts w:ascii="Calibri" w:hAnsi="Calibri"/>
                <w:color w:val="000000"/>
                <w:sz w:val="22"/>
              </w:rPr>
              <w:br/>
              <w:t xml:space="preserve"/>
            </w:r>
            <w:r>
              <w:rPr>
                <w:rFonts w:ascii="Calibri" w:hAnsi="Calibri"/>
                <w:color w:val="000000"/>
                <w:sz w:val="22"/>
              </w:rPr>
              <w:t xml:space="preserve">Frail Elderly</w:t>
            </w:r>
            <w:r>
              <w:rPr>
                <w:rFonts w:ascii="Calibri" w:hAnsi="Calibri"/>
                <w:color w:val="000000"/>
                <w:sz w:val="22"/>
              </w:rPr>
              <w:br/>
              <w:t xml:space="preserve"/>
            </w:r>
            <w:r>
              <w:rPr>
                <w:rFonts w:ascii="Calibri" w:hAnsi="Calibri"/>
                <w:color w:val="000000"/>
                <w:sz w:val="22"/>
              </w:rPr>
              <w:t xml:space="preserve">Persons with Mental Disabilities</w:t>
            </w:r>
            <w:r>
              <w:rPr>
                <w:rFonts w:ascii="Calibri" w:hAnsi="Calibri"/>
                <w:color w:val="000000"/>
                <w:sz w:val="22"/>
              </w:rPr>
              <w:br/>
              <w:t xml:space="preserve"/>
            </w:r>
            <w:r>
              <w:rPr>
                <w:rFonts w:ascii="Calibri" w:hAnsi="Calibri"/>
                <w:color w:val="000000"/>
                <w:sz w:val="22"/>
              </w:rPr>
              <w:t xml:space="preserve">Persons with Physical Disabilities</w:t>
            </w:r>
            <w:r>
              <w:rPr>
                <w:rFonts w:ascii="Calibri" w:hAnsi="Calibri"/>
                <w:color w:val="000000"/>
                <w:sz w:val="22"/>
              </w:rPr>
              <w:br/>
              <w:t xml:space="preserve"/>
            </w:r>
            <w:r>
              <w:rPr>
                <w:rFonts w:ascii="Calibri" w:hAnsi="Calibri"/>
                <w:color w:val="000000"/>
                <w:sz w:val="22"/>
              </w:rPr>
              <w:t xml:space="preserve">Persons with Developmental Disabilities</w:t>
            </w:r>
            <w:r>
              <w:rPr>
                <w:rFonts w:ascii="Calibri" w:hAnsi="Calibri"/>
                <w:color w:val="000000"/>
                <w:sz w:val="22"/>
              </w:rPr>
              <w:br/>
              <w:t xml:space="preserve"/>
            </w:r>
            <w:r>
              <w:rPr>
                <w:rFonts w:ascii="Calibri" w:hAnsi="Calibri"/>
                <w:color w:val="000000"/>
                <w:sz w:val="22"/>
              </w:rPr>
              <w:t xml:space="preserve">Persons with Alcohol or Other Addictions</w:t>
            </w:r>
            <w:r>
              <w:rPr>
                <w:rFonts w:ascii="Calibri" w:hAnsi="Calibri"/>
                <w:color w:val="000000"/>
                <w:sz w:val="22"/>
              </w:rPr>
              <w:br/>
              <w:t xml:space="preserve"/>
            </w:r>
            <w:r>
              <w:rPr>
                <w:rFonts w:ascii="Calibri" w:hAnsi="Calibri"/>
                <w:color w:val="000000"/>
                <w:sz w:val="22"/>
              </w:rPr>
              <w:t xml:space="preserve">Victims of Domestic Violence</w:t>
            </w:r>
            <w:r>
              <w:rPr>
                <w:rFonts w:ascii="Calibri" w:hAnsi="Calibri"/>
                <w:color w:val="000000"/>
                <w:sz w:val="22"/>
              </w:rPr>
              <w:br/>
              <w:t xml:space="preserve"/>
            </w:r>
            <w:r>
              <w:rPr>
                <w:rFonts w:ascii="Calibri" w:hAnsi="Calibri"/>
                <w:color w:val="000000"/>
                <w:sz w:val="22"/>
              </w:rPr>
              <w:t xml:space="preserve">Non-housing Community Development</w:t>
            </w:r>
          </w:p>
        </w:tc>
      </w:tr>
      <w:tr>
        <w:trPr>
          <w:cantSplit w:val="true"/>
        </w:trPr>
        <w:tc>
          <w:tcPr>
            <w:vMerge/>
          </w:tcPr>
          <w:p/>
        </w:tc>
        <w:tc>
          <w:p>
            <w:pPr>
              <w:keepNext w:val="true"/>
              <w:spacing w:before="100" w:after="0"/>
              <w:rPr>
                <w:b/>
              </w:rPr>
            </w:pPr>
            <w:r>
              <w:rPr>
                <w:b/>
              </w:rPr>
              <w:t>Geographic Areas Affected</w:t>
            </w:r>
          </w:p>
        </w:tc>
        <w:tc>
          <w:p>
            <w:pPr>
              <w:spacing w:before="100" w:after="0"/>
            </w:pPr>
            <w:r>
              <w:rPr>
                <w:rFonts w:ascii="Calibri" w:hAnsi="Calibri"/>
                <w:color w:val="000000"/>
                <w:sz w:val="22"/>
              </w:rPr>
              <w:t xml:space="preserve">Salt Lake County</w:t>
            </w:r>
          </w:p>
        </w:tc>
      </w:tr>
      <w:tr>
        <w:trPr>
          <w:cantSplit w:val="true"/>
        </w:trPr>
        <w:tc>
          <w:tcPr>
            <w:vMerge/>
          </w:tcPr>
          <w:p/>
        </w:tc>
        <w:tc>
          <w:p>
            <w:pPr>
              <w:keepNext w:val="true"/>
              <w:spacing w:before="100" w:after="0"/>
              <w:rPr>
                <w:b/>
              </w:rPr>
            </w:pPr>
            <w:r>
              <w:rPr>
                <w:b/>
              </w:rPr>
              <w:t>Associated Goals</w:t>
            </w:r>
          </w:p>
        </w:tc>
        <w:tc>
          <w:p>
            <w:pPr>
              <w:spacing w:before="100" w:after="0"/>
            </w:pPr>
            <w:r>
              <w:rPr>
                <w:rFonts w:ascii="Calibri" w:hAnsi="Calibri"/>
                <w:color w:val="000000"/>
                <w:sz w:val="22"/>
              </w:rPr>
              <w:t xml:space="preserve">Homeownership</w:t>
            </w:r>
            <w:r>
              <w:rPr>
                <w:rFonts w:ascii="Calibri" w:hAnsi="Calibri"/>
                <w:color w:val="000000"/>
                <w:sz w:val="22"/>
              </w:rPr>
              <w:br/>
              <w:t xml:space="preserve"/>
            </w:r>
            <w:r>
              <w:rPr>
                <w:rFonts w:ascii="Calibri" w:hAnsi="Calibri"/>
                <w:color w:val="000000"/>
                <w:sz w:val="22"/>
              </w:rPr>
              <w:t xml:space="preserve">Administration of HOME, ESG and CDBG</w:t>
            </w:r>
          </w:p>
        </w:tc>
      </w:tr>
      <w:tr>
        <w:trPr>
          <w:cantSplit w:val="true"/>
        </w:trPr>
        <w:tc>
          <w:tcPr>
            <w:vMerge/>
          </w:tcPr>
          <w:p/>
        </w:tc>
        <w:tc>
          <w:p>
            <w:pPr>
              <w:keepNext w:val="true"/>
              <w:spacing w:before="100" w:after="0"/>
              <w:rPr>
                <w:b/>
              </w:rPr>
            </w:pPr>
            <w:r>
              <w:rPr>
                <w:b/>
              </w:rPr>
              <w:t>Description</w:t>
            </w:r>
          </w:p>
        </w:tc>
        <w:tc>
          <w:p>
            <w:pPr>
              <w:spacing w:before="100" w:after="0"/>
            </w:pPr>
            <w:r>
              <w:rPr>
                <w:rFonts w:ascii="Calibri" w:hAnsi="Calibri"/>
                <w:b/>
                <w:color w:val="000000"/>
                <w:sz w:val="22"/>
              </w:rPr>
              <w:t xml:space="preserve">The price of homes remain high even with lower interest rates, low to moderate income households need downpayment assistannehe to able to afford to buy a home. Increasing the percentage of homeownership in low income neighborhoods increases the stability of the neighborhood. </w:t>
            </w:r>
          </w:p>
        </w:tc>
      </w:tr>
      <w:tr>
        <w:trPr>
          <w:cantSplit w:val="true"/>
        </w:trPr>
        <w:tc>
          <w:tcPr>
            <w:vMerge/>
          </w:tcPr>
          <w:p/>
        </w:tc>
        <w:tc>
          <w:p>
            <w:pPr>
              <w:keepNext w:val="true"/>
              <w:spacing w:before="100" w:after="0"/>
              <w:rPr>
                <w:b/>
              </w:rPr>
            </w:pPr>
            <w:r>
              <w:rPr>
                <w:b/>
              </w:rPr>
              <w:t>Basis for Relative Priority</w:t>
            </w:r>
          </w:p>
        </w:tc>
        <w:tc>
          <w:p>
            <w:pPr>
              <w:spacing w:before="100" w:after="0"/>
            </w:pPr>
            <w:r>
              <w:rPr>
                <w:rFonts w:ascii="Calibri" w:hAnsi="Calibri"/>
                <w:color w:val="000000"/>
                <w:sz w:val="22"/>
              </w:rPr>
              <w:t xml:space="preserve">Homeownership is one of the bst ways a low to moderate household can begin to develop equity and financial stability.</w:t>
            </w:r>
          </w:p>
        </w:tc>
      </w:tr>
      <w:tr>
        <w:trPr>
          <w:cantSplit w:val="true"/>
        </w:trPr>
        <w:tc>
          <w:tcPr>
            <w:vMerge w:val="restart"/>
          </w:tcPr>
          <w:p>
            <w:r>
              <w:rPr>
                <w:b w:val="true"/>
              </w:rPr>
              <w:t>5</w:t>
            </w:r>
          </w:p>
        </w:tc>
        <w:tc>
          <w:p>
            <w:pPr>
              <w:keepNext w:val="true"/>
              <w:spacing w:before="100" w:after="0"/>
              <w:rPr>
                <w:b/>
              </w:rPr>
            </w:pPr>
            <w:r>
              <w:rPr>
                <w:b/>
              </w:rPr>
              <w:t>Priority Need Name</w:t>
            </w:r>
          </w:p>
        </w:tc>
        <w:tc>
          <w:p>
            <w:pPr>
              <w:spacing w:before="100" w:after="0"/>
            </w:pPr>
            <w:r>
              <w:rPr>
                <w:rFonts w:ascii="Calibri" w:hAnsi="Calibri"/>
                <w:color w:val="000000"/>
                <w:sz w:val="22"/>
              </w:rPr>
              <w:t xml:space="preserve">Infrastructure</w:t>
            </w:r>
          </w:p>
        </w:tc>
      </w:tr>
      <w:tr>
        <w:trPr>
          <w:cantSplit w:val="true"/>
        </w:trPr>
        <w:tc>
          <w:tcPr>
            <w:vMerge/>
          </w:tcPr>
          <w:p/>
        </w:tc>
        <w:tc>
          <w:p>
            <w:pPr>
              <w:keepNext w:val="true"/>
              <w:spacing w:before="100" w:after="0"/>
              <w:rPr>
                <w:b/>
              </w:rPr>
            </w:pPr>
            <w:r>
              <w:rPr>
                <w:b/>
              </w:rPr>
              <w:t>Priority Level</w:t>
            </w:r>
          </w:p>
        </w:tc>
        <w:tc>
          <w:p>
            <w:pPr>
              <w:spacing w:before="100" w:after="0"/>
            </w:pPr>
            <w:r>
              <w:rPr>
                <w:rFonts w:ascii="Calibri" w:hAnsi="Calibri"/>
                <w:color w:val="000000"/>
                <w:sz w:val="22"/>
              </w:rPr>
              <w:t xml:space="preserve">High</w:t>
            </w:r>
          </w:p>
        </w:tc>
      </w:tr>
      <w:tr>
        <w:trPr>
          <w:cantSplit w:val="true"/>
        </w:trPr>
        <w:tc>
          <w:tcPr>
            <w:vMerge/>
          </w:tcPr>
          <w:p/>
        </w:tc>
        <w:tc>
          <w:p>
            <w:pPr>
              <w:keepNext w:val="true"/>
              <w:spacing w:before="100" w:after="0"/>
              <w:rPr>
                <w:b/>
              </w:rPr>
            </w:pPr>
            <w:r>
              <w:rPr>
                <w:b/>
              </w:rPr>
              <w:t>Population</w:t>
            </w:r>
          </w:p>
        </w:tc>
        <w:tc>
          <w:p>
            <w:pPr>
              <w:spacing w:before="100" w:after="0"/>
            </w:pPr>
            <w:r>
              <w:rPr>
                <w:rFonts w:ascii="Calibri" w:hAnsi="Calibri"/>
                <w:color w:val="000000"/>
                <w:sz w:val="22"/>
              </w:rPr>
              <w:t xml:space="preserve">Extremely Low</w:t>
            </w:r>
            <w:r>
              <w:rPr>
                <w:rFonts w:ascii="Calibri" w:hAnsi="Calibri"/>
                <w:color w:val="000000"/>
                <w:sz w:val="22"/>
              </w:rPr>
              <w:br/>
              <w:t xml:space="preserve"/>
            </w:r>
            <w:r>
              <w:rPr>
                <w:rFonts w:ascii="Calibri" w:hAnsi="Calibri"/>
                <w:color w:val="000000"/>
                <w:sz w:val="22"/>
              </w:rPr>
              <w:t xml:space="preserve">Low</w:t>
            </w:r>
            <w:r>
              <w:rPr>
                <w:rFonts w:ascii="Calibri" w:hAnsi="Calibri"/>
                <w:color w:val="000000"/>
                <w:sz w:val="22"/>
              </w:rPr>
              <w:br/>
              <w:t xml:space="preserve"/>
            </w:r>
            <w:r>
              <w:rPr>
                <w:rFonts w:ascii="Calibri" w:hAnsi="Calibri"/>
                <w:color w:val="000000"/>
                <w:sz w:val="22"/>
              </w:rPr>
              <w:t xml:space="preserve">Moderate</w:t>
            </w:r>
            <w:r>
              <w:rPr>
                <w:rFonts w:ascii="Calibri" w:hAnsi="Calibri"/>
                <w:color w:val="000000"/>
                <w:sz w:val="22"/>
              </w:rPr>
              <w:br/>
              <w:t xml:space="preserve"/>
            </w:r>
            <w:r>
              <w:rPr>
                <w:rFonts w:ascii="Calibri" w:hAnsi="Calibri"/>
                <w:color w:val="000000"/>
                <w:sz w:val="22"/>
              </w:rPr>
              <w:t xml:space="preserve">Large Families</w:t>
            </w:r>
            <w:r>
              <w:rPr>
                <w:rFonts w:ascii="Calibri" w:hAnsi="Calibri"/>
                <w:color w:val="000000"/>
                <w:sz w:val="22"/>
              </w:rPr>
              <w:br/>
              <w:t xml:space="preserve"/>
            </w:r>
            <w:r>
              <w:rPr>
                <w:rFonts w:ascii="Calibri" w:hAnsi="Calibri"/>
                <w:color w:val="000000"/>
                <w:sz w:val="22"/>
              </w:rPr>
              <w:t xml:space="preserve">Families with Children</w:t>
            </w:r>
            <w:r>
              <w:rPr>
                <w:rFonts w:ascii="Calibri" w:hAnsi="Calibri"/>
                <w:color w:val="000000"/>
                <w:sz w:val="22"/>
              </w:rPr>
              <w:br/>
              <w:t xml:space="preserve"/>
            </w:r>
            <w:r>
              <w:rPr>
                <w:rFonts w:ascii="Calibri" w:hAnsi="Calibri"/>
                <w:color w:val="000000"/>
                <w:sz w:val="22"/>
              </w:rPr>
              <w:t xml:space="preserve">Elderly</w:t>
            </w:r>
            <w:r>
              <w:rPr>
                <w:rFonts w:ascii="Calibri" w:hAnsi="Calibri"/>
                <w:color w:val="000000"/>
                <w:sz w:val="22"/>
              </w:rPr>
              <w:br/>
              <w:t xml:space="preserve"/>
            </w:r>
            <w:r>
              <w:rPr>
                <w:rFonts w:ascii="Calibri" w:hAnsi="Calibri"/>
                <w:color w:val="000000"/>
                <w:sz w:val="22"/>
              </w:rPr>
              <w:t xml:space="preserve">Non-housing Community Development</w:t>
            </w:r>
          </w:p>
        </w:tc>
      </w:tr>
      <w:tr>
        <w:trPr>
          <w:cantSplit w:val="true"/>
        </w:trPr>
        <w:tc>
          <w:tcPr>
            <w:vMerge/>
          </w:tcPr>
          <w:p/>
        </w:tc>
        <w:tc>
          <w:p>
            <w:pPr>
              <w:keepNext w:val="true"/>
              <w:spacing w:before="100" w:after="0"/>
              <w:rPr>
                <w:b/>
              </w:rPr>
            </w:pPr>
            <w:r>
              <w:rPr>
                <w:b/>
              </w:rPr>
              <w:t>Geographic Areas Affected</w:t>
            </w:r>
          </w:p>
        </w:tc>
        <w:tc>
          <w:p>
            <w:pPr>
              <w:spacing w:before="100" w:after="0"/>
            </w:pPr>
            <w:r>
              <w:rPr>
                <w:rFonts w:ascii="Calibri" w:hAnsi="Calibri"/>
                <w:color w:val="000000"/>
                <w:sz w:val="22"/>
              </w:rPr>
              <w:t xml:space="preserve">Salt Lake County</w:t>
            </w:r>
          </w:p>
        </w:tc>
      </w:tr>
      <w:tr>
        <w:trPr>
          <w:cantSplit w:val="true"/>
        </w:trPr>
        <w:tc>
          <w:tcPr>
            <w:vMerge/>
          </w:tcPr>
          <w:p/>
        </w:tc>
        <w:tc>
          <w:p>
            <w:pPr>
              <w:keepNext w:val="true"/>
              <w:spacing w:before="100" w:after="0"/>
              <w:rPr>
                <w:b/>
              </w:rPr>
            </w:pPr>
            <w:r>
              <w:rPr>
                <w:b/>
              </w:rPr>
              <w:t>Associated Goals</w:t>
            </w:r>
          </w:p>
        </w:tc>
        <w:tc>
          <w:p>
            <w:pPr>
              <w:spacing w:before="100" w:after="0"/>
            </w:pPr>
            <w:r>
              <w:rPr>
                <w:rFonts w:ascii="Calibri" w:hAnsi="Calibri"/>
                <w:color w:val="000000"/>
                <w:sz w:val="22"/>
              </w:rPr>
              <w:t xml:space="preserve">Infrastructure</w:t>
            </w:r>
            <w:r>
              <w:rPr>
                <w:rFonts w:ascii="Calibri" w:hAnsi="Calibri"/>
                <w:color w:val="000000"/>
                <w:sz w:val="22"/>
              </w:rPr>
              <w:br/>
              <w:t xml:space="preserve"/>
            </w:r>
            <w:r>
              <w:rPr>
                <w:rFonts w:ascii="Calibri" w:hAnsi="Calibri"/>
                <w:color w:val="000000"/>
                <w:sz w:val="22"/>
              </w:rPr>
              <w:t xml:space="preserve">Administration of HOME, ESG and CDBG</w:t>
            </w:r>
          </w:p>
        </w:tc>
      </w:tr>
      <w:tr>
        <w:trPr>
          <w:cantSplit w:val="true"/>
        </w:trPr>
        <w:tc>
          <w:tcPr>
            <w:vMerge/>
          </w:tcPr>
          <w:p/>
        </w:tc>
        <w:tc>
          <w:p>
            <w:pPr>
              <w:keepNext w:val="true"/>
              <w:spacing w:before="100" w:after="0"/>
              <w:rPr>
                <w:b/>
              </w:rPr>
            </w:pPr>
            <w:r>
              <w:rPr>
                <w:b/>
              </w:rPr>
              <w:t>Description</w:t>
            </w:r>
          </w:p>
        </w:tc>
        <w:tc>
          <w:p>
            <w:pPr>
              <w:spacing w:before="100" w:after="0"/>
            </w:pPr>
            <w:r>
              <w:rPr>
                <w:rFonts w:ascii="Calibri" w:hAnsi="Calibri"/>
                <w:color w:val="000000"/>
                <w:sz w:val="22"/>
              </w:rPr>
              <w:t xml:space="preserve">CDBG funds will be committed to fund infrastructure projects, park improvements, sidewalks, ADA curb cuts, street and lighting improvements, and other projects that create neighborhood revitalization and safety.  In the next five years over 10 projects should be financed and completed.</w:t>
            </w:r>
          </w:p>
        </w:tc>
      </w:tr>
      <w:tr>
        <w:trPr>
          <w:cantSplit w:val="true"/>
        </w:trPr>
        <w:tc>
          <w:tcPr>
            <w:vMerge/>
          </w:tcPr>
          <w:p/>
        </w:tc>
        <w:tc>
          <w:p>
            <w:pPr>
              <w:keepNext w:val="true"/>
              <w:spacing w:before="100" w:after="0"/>
              <w:rPr>
                <w:b/>
              </w:rPr>
            </w:pPr>
            <w:r>
              <w:rPr>
                <w:b/>
              </w:rPr>
              <w:t>Basis for Relative Priority</w:t>
            </w:r>
          </w:p>
        </w:tc>
        <w:tc>
          <w:p>
            <w:pPr>
              <w:spacing w:before="100" w:after="0"/>
            </w:pPr>
            <w:r>
              <w:rPr>
                <w:rFonts w:ascii="Calibri" w:hAnsi="Calibri"/>
                <w:color w:val="000000"/>
                <w:sz w:val="22"/>
              </w:rPr>
              <w:t xml:space="preserve">.</w:t>
            </w:r>
          </w:p>
        </w:tc>
      </w:tr>
      <w:tr>
        <w:trPr>
          <w:cantSplit w:val="true"/>
        </w:trPr>
        <w:tc>
          <w:tcPr>
            <w:vMerge w:val="restart"/>
          </w:tcPr>
          <w:p>
            <w:r>
              <w:rPr>
                <w:b w:val="true"/>
              </w:rPr>
              <w:t>6</w:t>
            </w:r>
          </w:p>
        </w:tc>
        <w:tc>
          <w:p>
            <w:pPr>
              <w:keepNext w:val="true"/>
              <w:spacing w:before="100" w:after="0"/>
              <w:rPr>
                <w:b/>
              </w:rPr>
            </w:pPr>
            <w:r>
              <w:rPr>
                <w:b/>
              </w:rPr>
              <w:t>Priority Need Name</w:t>
            </w:r>
          </w:p>
        </w:tc>
        <w:tc>
          <w:p>
            <w:pPr>
              <w:spacing w:before="100" w:after="0"/>
            </w:pPr>
            <w:r>
              <w:rPr>
                <w:rFonts w:ascii="Calibri" w:hAnsi="Calibri"/>
                <w:color w:val="000000"/>
                <w:sz w:val="22"/>
              </w:rPr>
              <w:t xml:space="preserve">Public Facilities</w:t>
            </w:r>
          </w:p>
        </w:tc>
      </w:tr>
      <w:tr>
        <w:trPr>
          <w:cantSplit w:val="true"/>
        </w:trPr>
        <w:tc>
          <w:tcPr>
            <w:vMerge/>
          </w:tcPr>
          <w:p/>
        </w:tc>
        <w:tc>
          <w:p>
            <w:pPr>
              <w:keepNext w:val="true"/>
              <w:spacing w:before="100" w:after="0"/>
              <w:rPr>
                <w:b/>
              </w:rPr>
            </w:pPr>
            <w:r>
              <w:rPr>
                <w:b/>
              </w:rPr>
              <w:t>Priority Level</w:t>
            </w:r>
          </w:p>
        </w:tc>
        <w:tc>
          <w:p>
            <w:pPr>
              <w:spacing w:before="100" w:after="0"/>
            </w:pPr>
            <w:r>
              <w:rPr>
                <w:rFonts w:ascii="Calibri" w:hAnsi="Calibri"/>
                <w:color w:val="000000"/>
                <w:sz w:val="22"/>
              </w:rPr>
              <w:t xml:space="preserve">High</w:t>
            </w:r>
          </w:p>
        </w:tc>
      </w:tr>
      <w:tr>
        <w:trPr>
          <w:cantSplit w:val="true"/>
        </w:trPr>
        <w:tc>
          <w:tcPr>
            <w:vMerge/>
          </w:tcPr>
          <w:p/>
        </w:tc>
        <w:tc>
          <w:p>
            <w:pPr>
              <w:keepNext w:val="true"/>
              <w:spacing w:before="100" w:after="0"/>
              <w:rPr>
                <w:b/>
              </w:rPr>
            </w:pPr>
            <w:r>
              <w:rPr>
                <w:b/>
              </w:rPr>
              <w:t>Population</w:t>
            </w:r>
          </w:p>
        </w:tc>
        <w:tc>
          <w:p>
            <w:pPr>
              <w:spacing w:before="100" w:after="0"/>
            </w:pPr>
            <w:r>
              <w:rPr>
                <w:rFonts w:ascii="Calibri" w:hAnsi="Calibri"/>
                <w:color w:val="000000"/>
                <w:sz w:val="22"/>
              </w:rPr>
              <w:t xml:space="preserve">Extremely Low</w:t>
            </w:r>
            <w:r>
              <w:rPr>
                <w:rFonts w:ascii="Calibri" w:hAnsi="Calibri"/>
                <w:color w:val="000000"/>
                <w:sz w:val="22"/>
              </w:rPr>
              <w:br/>
              <w:t xml:space="preserve"/>
            </w:r>
            <w:r>
              <w:rPr>
                <w:rFonts w:ascii="Calibri" w:hAnsi="Calibri"/>
                <w:color w:val="000000"/>
                <w:sz w:val="22"/>
              </w:rPr>
              <w:t xml:space="preserve">Low</w:t>
            </w:r>
            <w:r>
              <w:rPr>
                <w:rFonts w:ascii="Calibri" w:hAnsi="Calibri"/>
                <w:color w:val="000000"/>
                <w:sz w:val="22"/>
              </w:rPr>
              <w:br/>
              <w:t xml:space="preserve"/>
            </w:r>
            <w:r>
              <w:rPr>
                <w:rFonts w:ascii="Calibri" w:hAnsi="Calibri"/>
                <w:color w:val="000000"/>
                <w:sz w:val="22"/>
              </w:rPr>
              <w:t xml:space="preserve">Moderate</w:t>
            </w:r>
            <w:r>
              <w:rPr>
                <w:rFonts w:ascii="Calibri" w:hAnsi="Calibri"/>
                <w:color w:val="000000"/>
                <w:sz w:val="22"/>
              </w:rPr>
              <w:br/>
              <w:t xml:space="preserve"/>
            </w:r>
            <w:r>
              <w:rPr>
                <w:rFonts w:ascii="Calibri" w:hAnsi="Calibri"/>
                <w:color w:val="000000"/>
                <w:sz w:val="22"/>
              </w:rPr>
              <w:t xml:space="preserve">Middle</w:t>
            </w:r>
            <w:r>
              <w:rPr>
                <w:rFonts w:ascii="Calibri" w:hAnsi="Calibri"/>
                <w:color w:val="000000"/>
                <w:sz w:val="22"/>
              </w:rPr>
              <w:br/>
              <w:t xml:space="preserve"/>
            </w:r>
            <w:r>
              <w:rPr>
                <w:rFonts w:ascii="Calibri" w:hAnsi="Calibri"/>
                <w:color w:val="000000"/>
                <w:sz w:val="22"/>
              </w:rPr>
              <w:t xml:space="preserve">Large Families</w:t>
            </w:r>
            <w:r>
              <w:rPr>
                <w:rFonts w:ascii="Calibri" w:hAnsi="Calibri"/>
                <w:color w:val="000000"/>
                <w:sz w:val="22"/>
              </w:rPr>
              <w:br/>
              <w:t xml:space="preserve"/>
            </w:r>
            <w:r>
              <w:rPr>
                <w:rFonts w:ascii="Calibri" w:hAnsi="Calibri"/>
                <w:color w:val="000000"/>
                <w:sz w:val="22"/>
              </w:rPr>
              <w:t xml:space="preserve">Families with Children</w:t>
            </w:r>
            <w:r>
              <w:rPr>
                <w:rFonts w:ascii="Calibri" w:hAnsi="Calibri"/>
                <w:color w:val="000000"/>
                <w:sz w:val="22"/>
              </w:rPr>
              <w:br/>
              <w:t xml:space="preserve"/>
            </w:r>
            <w:r>
              <w:rPr>
                <w:rFonts w:ascii="Calibri" w:hAnsi="Calibri"/>
                <w:color w:val="000000"/>
                <w:sz w:val="22"/>
              </w:rPr>
              <w:t xml:space="preserve">Elderly</w:t>
            </w:r>
            <w:r>
              <w:rPr>
                <w:rFonts w:ascii="Calibri" w:hAnsi="Calibri"/>
                <w:color w:val="000000"/>
                <w:sz w:val="22"/>
              </w:rPr>
              <w:br/>
              <w:t xml:space="preserve"/>
            </w:r>
            <w:r>
              <w:rPr>
                <w:rFonts w:ascii="Calibri" w:hAnsi="Calibri"/>
                <w:color w:val="000000"/>
                <w:sz w:val="22"/>
              </w:rPr>
              <w:t xml:space="preserve">Individuals</w:t>
            </w:r>
            <w:r>
              <w:rPr>
                <w:rFonts w:ascii="Calibri" w:hAnsi="Calibri"/>
                <w:color w:val="000000"/>
                <w:sz w:val="22"/>
              </w:rPr>
              <w:br/>
              <w:t xml:space="preserve"/>
            </w:r>
            <w:r>
              <w:rPr>
                <w:rFonts w:ascii="Calibri" w:hAnsi="Calibri"/>
                <w:color w:val="000000"/>
                <w:sz w:val="22"/>
              </w:rPr>
              <w:t xml:space="preserve">Elderly</w:t>
            </w:r>
            <w:r>
              <w:rPr>
                <w:rFonts w:ascii="Calibri" w:hAnsi="Calibri"/>
                <w:color w:val="000000"/>
                <w:sz w:val="22"/>
              </w:rPr>
              <w:br/>
              <w:t xml:space="preserve"/>
            </w:r>
            <w:r>
              <w:rPr>
                <w:rFonts w:ascii="Calibri" w:hAnsi="Calibri"/>
                <w:color w:val="000000"/>
                <w:sz w:val="22"/>
              </w:rPr>
              <w:t xml:space="preserve">Non-housing Community Development</w:t>
            </w:r>
          </w:p>
        </w:tc>
      </w:tr>
      <w:tr>
        <w:trPr>
          <w:cantSplit w:val="true"/>
        </w:trPr>
        <w:tc>
          <w:tcPr>
            <w:vMerge/>
          </w:tcPr>
          <w:p/>
        </w:tc>
        <w:tc>
          <w:p>
            <w:pPr>
              <w:keepNext w:val="true"/>
              <w:spacing w:before="100" w:after="0"/>
              <w:rPr>
                <w:b/>
              </w:rPr>
            </w:pPr>
            <w:r>
              <w:rPr>
                <w:b/>
              </w:rPr>
              <w:t>Geographic Areas Affected</w:t>
            </w:r>
          </w:p>
        </w:tc>
        <w:tc>
          <w:p>
            <w:pPr>
              <w:spacing w:before="100" w:after="0"/>
            </w:pPr>
            <w:r>
              <w:rPr>
                <w:rFonts w:ascii="Calibri" w:hAnsi="Calibri"/>
                <w:color w:val="000000"/>
                <w:sz w:val="22"/>
              </w:rPr>
              <w:t xml:space="preserve">Salt Lake County</w:t>
            </w:r>
          </w:p>
        </w:tc>
      </w:tr>
      <w:tr>
        <w:trPr>
          <w:cantSplit w:val="true"/>
        </w:trPr>
        <w:tc>
          <w:tcPr>
            <w:vMerge/>
          </w:tcPr>
          <w:p/>
        </w:tc>
        <w:tc>
          <w:p>
            <w:pPr>
              <w:keepNext w:val="true"/>
              <w:spacing w:before="100" w:after="0"/>
              <w:rPr>
                <w:b/>
              </w:rPr>
            </w:pPr>
            <w:r>
              <w:rPr>
                <w:b/>
              </w:rPr>
              <w:t>Associated Goals</w:t>
            </w:r>
          </w:p>
        </w:tc>
        <w:tc>
          <w:p>
            <w:pPr>
              <w:spacing w:before="100" w:after="0"/>
            </w:pPr>
            <w:r>
              <w:rPr>
                <w:rFonts w:ascii="Calibri" w:hAnsi="Calibri"/>
                <w:color w:val="000000"/>
                <w:sz w:val="22"/>
              </w:rPr>
              <w:t xml:space="preserve">Public facilities</w:t>
            </w:r>
            <w:r>
              <w:rPr>
                <w:rFonts w:ascii="Calibri" w:hAnsi="Calibri"/>
                <w:color w:val="000000"/>
                <w:sz w:val="22"/>
              </w:rPr>
              <w:br/>
              <w:t xml:space="preserve"/>
            </w:r>
            <w:r>
              <w:rPr>
                <w:rFonts w:ascii="Calibri" w:hAnsi="Calibri"/>
                <w:color w:val="000000"/>
                <w:sz w:val="22"/>
              </w:rPr>
              <w:t xml:space="preserve">Administration of HOME, ESG and CDBG</w:t>
            </w:r>
          </w:p>
        </w:tc>
      </w:tr>
      <w:tr>
        <w:trPr>
          <w:cantSplit w:val="true"/>
        </w:trPr>
        <w:tc>
          <w:tcPr>
            <w:vMerge/>
          </w:tcPr>
          <w:p/>
        </w:tc>
        <w:tc>
          <w:p>
            <w:pPr>
              <w:keepNext w:val="true"/>
              <w:spacing w:before="100" w:after="0"/>
              <w:rPr>
                <w:b/>
              </w:rPr>
            </w:pPr>
            <w:r>
              <w:rPr>
                <w:b/>
              </w:rPr>
              <w:t>Description</w:t>
            </w:r>
          </w:p>
        </w:tc>
        <w:tc>
          <w:p>
            <w:pPr>
              <w:spacing w:before="100" w:after="0"/>
            </w:pPr>
            <w:r>
              <w:rPr>
                <w:rFonts w:ascii="Calibri" w:hAnsi="Calibri"/>
                <w:color w:val="000000"/>
                <w:sz w:val="22"/>
              </w:rPr>
              <w:t xml:space="preserve">There is a significant need for improvements of public facilities in low income neighborhoods</w:t>
            </w:r>
          </w:p>
        </w:tc>
      </w:tr>
      <w:tr>
        <w:trPr>
          <w:cantSplit w:val="true"/>
        </w:trPr>
        <w:tc>
          <w:tcPr>
            <w:vMerge/>
          </w:tcPr>
          <w:p/>
        </w:tc>
        <w:tc>
          <w:p>
            <w:pPr>
              <w:keepNext w:val="true"/>
              <w:spacing w:before="100" w:after="0"/>
              <w:rPr>
                <w:b/>
              </w:rPr>
            </w:pPr>
            <w:r>
              <w:rPr>
                <w:b/>
              </w:rPr>
              <w:t>Basis for Relative Priority</w:t>
            </w:r>
          </w:p>
        </w:tc>
        <w:tc>
          <w:p>
            <w:pPr>
              <w:spacing w:before="100" w:after="0"/>
            </w:pPr>
            <w:r>
              <w:rPr>
                <w:rFonts w:ascii="Calibri" w:hAnsi="Calibri"/>
                <w:color w:val="000000"/>
                <w:sz w:val="22"/>
              </w:rPr>
              <w:t xml:space="preserve">In South Lake City, Kearns, Magna, Midvale there are several aging public facilities which need improvements</w:t>
            </w:r>
          </w:p>
        </w:tc>
      </w:tr>
      <w:tr>
        <w:trPr>
          <w:cantSplit w:val="true"/>
        </w:trPr>
        <w:tc>
          <w:tcPr>
            <w:vMerge w:val="restart"/>
          </w:tcPr>
          <w:p>
            <w:r>
              <w:rPr>
                <w:b w:val="true"/>
              </w:rPr>
              <w:t>7</w:t>
            </w:r>
          </w:p>
        </w:tc>
        <w:tc>
          <w:p>
            <w:pPr>
              <w:keepNext w:val="true"/>
              <w:spacing w:before="100" w:after="0"/>
              <w:rPr>
                <w:b/>
              </w:rPr>
            </w:pPr>
            <w:r>
              <w:rPr>
                <w:b/>
              </w:rPr>
              <w:t>Priority Need Name</w:t>
            </w:r>
          </w:p>
        </w:tc>
        <w:tc>
          <w:p>
            <w:pPr>
              <w:spacing w:before="100" w:after="0"/>
            </w:pPr>
            <w:r>
              <w:rPr>
                <w:rFonts w:ascii="Calibri" w:hAnsi="Calibri"/>
                <w:color w:val="000000"/>
                <w:sz w:val="22"/>
              </w:rPr>
              <w:t xml:space="preserve">Access to crisis assistance</w:t>
            </w:r>
          </w:p>
        </w:tc>
      </w:tr>
      <w:tr>
        <w:trPr>
          <w:cantSplit w:val="true"/>
        </w:trPr>
        <w:tc>
          <w:tcPr>
            <w:vMerge/>
          </w:tcPr>
          <w:p/>
        </w:tc>
        <w:tc>
          <w:p>
            <w:pPr>
              <w:keepNext w:val="true"/>
              <w:spacing w:before="100" w:after="0"/>
              <w:rPr>
                <w:b/>
              </w:rPr>
            </w:pPr>
            <w:r>
              <w:rPr>
                <w:b/>
              </w:rPr>
              <w:t>Priority Level</w:t>
            </w:r>
          </w:p>
        </w:tc>
        <w:tc>
          <w:p>
            <w:pPr>
              <w:spacing w:before="100" w:after="0"/>
            </w:pPr>
            <w:r>
              <w:rPr>
                <w:rFonts w:ascii="Calibri" w:hAnsi="Calibri"/>
                <w:color w:val="000000"/>
                <w:sz w:val="22"/>
              </w:rPr>
              <w:t xml:space="preserve">High</w:t>
            </w:r>
          </w:p>
        </w:tc>
      </w:tr>
      <w:tr>
        <w:trPr>
          <w:cantSplit w:val="true"/>
        </w:trPr>
        <w:tc>
          <w:tcPr>
            <w:vMerge/>
          </w:tcPr>
          <w:p/>
        </w:tc>
        <w:tc>
          <w:p>
            <w:pPr>
              <w:keepNext w:val="true"/>
              <w:spacing w:before="100" w:after="0"/>
              <w:rPr>
                <w:b/>
              </w:rPr>
            </w:pPr>
            <w:r>
              <w:rPr>
                <w:b/>
              </w:rPr>
              <w:t>Population</w:t>
            </w:r>
          </w:p>
        </w:tc>
        <w:tc>
          <w:p>
            <w:pPr>
              <w:spacing w:before="100" w:after="0"/>
            </w:pPr>
            <w:r>
              <w:rPr>
                <w:rFonts w:ascii="Calibri" w:hAnsi="Calibri"/>
                <w:color w:val="000000"/>
                <w:sz w:val="22"/>
              </w:rPr>
              <w:t xml:space="preserve">Extremely Low</w:t>
            </w:r>
            <w:r>
              <w:rPr>
                <w:rFonts w:ascii="Calibri" w:hAnsi="Calibri"/>
                <w:color w:val="000000"/>
                <w:sz w:val="22"/>
              </w:rPr>
              <w:br/>
              <w:t xml:space="preserve"/>
            </w:r>
            <w:r>
              <w:rPr>
                <w:rFonts w:ascii="Calibri" w:hAnsi="Calibri"/>
                <w:color w:val="000000"/>
                <w:sz w:val="22"/>
              </w:rPr>
              <w:t xml:space="preserve">Low</w:t>
            </w:r>
            <w:r>
              <w:rPr>
                <w:rFonts w:ascii="Calibri" w:hAnsi="Calibri"/>
                <w:color w:val="000000"/>
                <w:sz w:val="22"/>
              </w:rPr>
              <w:br/>
              <w:t xml:space="preserve"/>
            </w:r>
            <w:r>
              <w:rPr>
                <w:rFonts w:ascii="Calibri" w:hAnsi="Calibri"/>
                <w:color w:val="000000"/>
                <w:sz w:val="22"/>
              </w:rPr>
              <w:t xml:space="preserve">Moderate</w:t>
            </w:r>
            <w:r>
              <w:rPr>
                <w:rFonts w:ascii="Calibri" w:hAnsi="Calibri"/>
                <w:color w:val="000000"/>
                <w:sz w:val="22"/>
              </w:rPr>
              <w:br/>
              <w:t xml:space="preserve"/>
            </w:r>
            <w:r>
              <w:rPr>
                <w:rFonts w:ascii="Calibri" w:hAnsi="Calibri"/>
                <w:color w:val="000000"/>
                <w:sz w:val="22"/>
              </w:rPr>
              <w:t xml:space="preserve">Large Families</w:t>
            </w:r>
            <w:r>
              <w:rPr>
                <w:rFonts w:ascii="Calibri" w:hAnsi="Calibri"/>
                <w:color w:val="000000"/>
                <w:sz w:val="22"/>
              </w:rPr>
              <w:br/>
              <w:t xml:space="preserve"/>
            </w:r>
            <w:r>
              <w:rPr>
                <w:rFonts w:ascii="Calibri" w:hAnsi="Calibri"/>
                <w:color w:val="000000"/>
                <w:sz w:val="22"/>
              </w:rPr>
              <w:t xml:space="preserve">Families with Children</w:t>
            </w:r>
            <w:r>
              <w:rPr>
                <w:rFonts w:ascii="Calibri" w:hAnsi="Calibri"/>
                <w:color w:val="000000"/>
                <w:sz w:val="22"/>
              </w:rPr>
              <w:br/>
              <w:t xml:space="preserve"/>
            </w:r>
            <w:r>
              <w:rPr>
                <w:rFonts w:ascii="Calibri" w:hAnsi="Calibri"/>
                <w:color w:val="000000"/>
                <w:sz w:val="22"/>
              </w:rPr>
              <w:t xml:space="preserve">Elderly</w:t>
            </w:r>
            <w:r>
              <w:rPr>
                <w:rFonts w:ascii="Calibri" w:hAnsi="Calibri"/>
                <w:color w:val="000000"/>
                <w:sz w:val="22"/>
              </w:rPr>
              <w:br/>
              <w:t xml:space="preserve"/>
            </w:r>
            <w:r>
              <w:rPr>
                <w:rFonts w:ascii="Calibri" w:hAnsi="Calibri"/>
                <w:color w:val="000000"/>
                <w:sz w:val="22"/>
              </w:rPr>
              <w:t xml:space="preserve">Chronic Homelessness</w:t>
            </w:r>
            <w:r>
              <w:rPr>
                <w:rFonts w:ascii="Calibri" w:hAnsi="Calibri"/>
                <w:color w:val="000000"/>
                <w:sz w:val="22"/>
              </w:rPr>
              <w:br/>
              <w:t xml:space="preserve"/>
            </w:r>
            <w:r>
              <w:rPr>
                <w:rFonts w:ascii="Calibri" w:hAnsi="Calibri"/>
                <w:color w:val="000000"/>
                <w:sz w:val="22"/>
              </w:rPr>
              <w:t xml:space="preserve">Individuals</w:t>
            </w:r>
            <w:r>
              <w:rPr>
                <w:rFonts w:ascii="Calibri" w:hAnsi="Calibri"/>
                <w:color w:val="000000"/>
                <w:sz w:val="22"/>
              </w:rPr>
              <w:br/>
              <w:t xml:space="preserve"/>
            </w:r>
            <w:r>
              <w:rPr>
                <w:rFonts w:ascii="Calibri" w:hAnsi="Calibri"/>
                <w:color w:val="000000"/>
                <w:sz w:val="22"/>
              </w:rPr>
              <w:t xml:space="preserve">Families with Children</w:t>
            </w:r>
            <w:r>
              <w:rPr>
                <w:rFonts w:ascii="Calibri" w:hAnsi="Calibri"/>
                <w:color w:val="000000"/>
                <w:sz w:val="22"/>
              </w:rPr>
              <w:br/>
              <w:t xml:space="preserve"/>
            </w:r>
            <w:r>
              <w:rPr>
                <w:rFonts w:ascii="Calibri" w:hAnsi="Calibri"/>
                <w:color w:val="000000"/>
                <w:sz w:val="22"/>
              </w:rPr>
              <w:t xml:space="preserve">Mentally Ill</w:t>
            </w:r>
            <w:r>
              <w:rPr>
                <w:rFonts w:ascii="Calibri" w:hAnsi="Calibri"/>
                <w:color w:val="000000"/>
                <w:sz w:val="22"/>
              </w:rPr>
              <w:br/>
              <w:t xml:space="preserve"/>
            </w:r>
            <w:r>
              <w:rPr>
                <w:rFonts w:ascii="Calibri" w:hAnsi="Calibri"/>
                <w:color w:val="000000"/>
                <w:sz w:val="22"/>
              </w:rPr>
              <w:t xml:space="preserve">Chronic Substance Abuse</w:t>
            </w:r>
            <w:r>
              <w:rPr>
                <w:rFonts w:ascii="Calibri" w:hAnsi="Calibri"/>
                <w:color w:val="000000"/>
                <w:sz w:val="22"/>
              </w:rPr>
              <w:br/>
              <w:t xml:space="preserve"/>
            </w:r>
            <w:r>
              <w:rPr>
                <w:rFonts w:ascii="Calibri" w:hAnsi="Calibri"/>
                <w:color w:val="000000"/>
                <w:sz w:val="22"/>
              </w:rPr>
              <w:t xml:space="preserve">veterans</w:t>
            </w:r>
            <w:r>
              <w:rPr>
                <w:rFonts w:ascii="Calibri" w:hAnsi="Calibri"/>
                <w:color w:val="000000"/>
                <w:sz w:val="22"/>
              </w:rPr>
              <w:br/>
              <w:t xml:space="preserve"/>
            </w:r>
            <w:r>
              <w:rPr>
                <w:rFonts w:ascii="Calibri" w:hAnsi="Calibri"/>
                <w:color w:val="000000"/>
                <w:sz w:val="22"/>
              </w:rPr>
              <w:t xml:space="preserve">Persons with HIV/AIDS</w:t>
            </w:r>
            <w:r>
              <w:rPr>
                <w:rFonts w:ascii="Calibri" w:hAnsi="Calibri"/>
                <w:color w:val="000000"/>
                <w:sz w:val="22"/>
              </w:rPr>
              <w:br/>
              <w:t xml:space="preserve"/>
            </w:r>
            <w:r>
              <w:rPr>
                <w:rFonts w:ascii="Calibri" w:hAnsi="Calibri"/>
                <w:color w:val="000000"/>
                <w:sz w:val="22"/>
              </w:rPr>
              <w:t xml:space="preserve">Victims of Domestic Violence</w:t>
            </w:r>
            <w:r>
              <w:rPr>
                <w:rFonts w:ascii="Calibri" w:hAnsi="Calibri"/>
                <w:color w:val="000000"/>
                <w:sz w:val="22"/>
              </w:rPr>
              <w:br/>
              <w:t xml:space="preserve"/>
            </w:r>
            <w:r>
              <w:rPr>
                <w:rFonts w:ascii="Calibri" w:hAnsi="Calibri"/>
                <w:color w:val="000000"/>
                <w:sz w:val="22"/>
              </w:rPr>
              <w:t xml:space="preserve">Unaccompanied Youth</w:t>
            </w:r>
            <w:r>
              <w:rPr>
                <w:rFonts w:ascii="Calibri" w:hAnsi="Calibri"/>
                <w:color w:val="000000"/>
                <w:sz w:val="22"/>
              </w:rPr>
              <w:br/>
              <w:t xml:space="preserve"/>
            </w:r>
            <w:r>
              <w:rPr>
                <w:rFonts w:ascii="Calibri" w:hAnsi="Calibri"/>
                <w:color w:val="000000"/>
                <w:sz w:val="22"/>
              </w:rPr>
              <w:t xml:space="preserve">Elderly</w:t>
            </w:r>
            <w:r>
              <w:rPr>
                <w:rFonts w:ascii="Calibri" w:hAnsi="Calibri"/>
                <w:color w:val="000000"/>
                <w:sz w:val="22"/>
              </w:rPr>
              <w:br/>
              <w:t xml:space="preserve"/>
            </w:r>
            <w:r>
              <w:rPr>
                <w:rFonts w:ascii="Calibri" w:hAnsi="Calibri"/>
                <w:color w:val="000000"/>
                <w:sz w:val="22"/>
              </w:rPr>
              <w:t xml:space="preserve">Frail Elderly</w:t>
            </w:r>
            <w:r>
              <w:rPr>
                <w:rFonts w:ascii="Calibri" w:hAnsi="Calibri"/>
                <w:color w:val="000000"/>
                <w:sz w:val="22"/>
              </w:rPr>
              <w:br/>
              <w:t xml:space="preserve"/>
            </w:r>
            <w:r>
              <w:rPr>
                <w:rFonts w:ascii="Calibri" w:hAnsi="Calibri"/>
                <w:color w:val="000000"/>
                <w:sz w:val="22"/>
              </w:rPr>
              <w:t xml:space="preserve">Persons with Mental Disabilities</w:t>
            </w:r>
            <w:r>
              <w:rPr>
                <w:rFonts w:ascii="Calibri" w:hAnsi="Calibri"/>
                <w:color w:val="000000"/>
                <w:sz w:val="22"/>
              </w:rPr>
              <w:br/>
              <w:t xml:space="preserve"/>
            </w:r>
            <w:r>
              <w:rPr>
                <w:rFonts w:ascii="Calibri" w:hAnsi="Calibri"/>
                <w:color w:val="000000"/>
                <w:sz w:val="22"/>
              </w:rPr>
              <w:t xml:space="preserve">Persons with Physical Disabilities</w:t>
            </w:r>
            <w:r>
              <w:rPr>
                <w:rFonts w:ascii="Calibri" w:hAnsi="Calibri"/>
                <w:color w:val="000000"/>
                <w:sz w:val="22"/>
              </w:rPr>
              <w:br/>
              <w:t xml:space="preserve"/>
            </w:r>
            <w:r>
              <w:rPr>
                <w:rFonts w:ascii="Calibri" w:hAnsi="Calibri"/>
                <w:color w:val="000000"/>
                <w:sz w:val="22"/>
              </w:rPr>
              <w:t xml:space="preserve">Persons with Developmental Disabilities</w:t>
            </w:r>
            <w:r>
              <w:rPr>
                <w:rFonts w:ascii="Calibri" w:hAnsi="Calibri"/>
                <w:color w:val="000000"/>
                <w:sz w:val="22"/>
              </w:rPr>
              <w:br/>
              <w:t xml:space="preserve"/>
            </w:r>
            <w:r>
              <w:rPr>
                <w:rFonts w:ascii="Calibri" w:hAnsi="Calibri"/>
                <w:color w:val="000000"/>
                <w:sz w:val="22"/>
              </w:rPr>
              <w:t xml:space="preserve">Persons with Alcohol or Other Addictions</w:t>
            </w:r>
            <w:r>
              <w:rPr>
                <w:rFonts w:ascii="Calibri" w:hAnsi="Calibri"/>
                <w:color w:val="000000"/>
                <w:sz w:val="22"/>
              </w:rPr>
              <w:br/>
              <w:t xml:space="preserve"/>
            </w:r>
            <w:r>
              <w:rPr>
                <w:rFonts w:ascii="Calibri" w:hAnsi="Calibri"/>
                <w:color w:val="000000"/>
                <w:sz w:val="22"/>
              </w:rPr>
              <w:t xml:space="preserve">Persons with HIV/AIDS and their Families</w:t>
            </w:r>
            <w:r>
              <w:rPr>
                <w:rFonts w:ascii="Calibri" w:hAnsi="Calibri"/>
                <w:color w:val="000000"/>
                <w:sz w:val="22"/>
              </w:rPr>
              <w:br/>
              <w:t xml:space="preserve"/>
            </w:r>
            <w:r>
              <w:rPr>
                <w:rFonts w:ascii="Calibri" w:hAnsi="Calibri"/>
                <w:color w:val="000000"/>
                <w:sz w:val="22"/>
              </w:rPr>
              <w:t xml:space="preserve">Victims of Domestic Violence</w:t>
            </w:r>
          </w:p>
        </w:tc>
      </w:tr>
      <w:tr>
        <w:trPr>
          <w:cantSplit w:val="true"/>
        </w:trPr>
        <w:tc>
          <w:tcPr>
            <w:vMerge/>
          </w:tcPr>
          <w:p/>
        </w:tc>
        <w:tc>
          <w:p>
            <w:pPr>
              <w:keepNext w:val="true"/>
              <w:spacing w:before="100" w:after="0"/>
              <w:rPr>
                <w:b/>
              </w:rPr>
            </w:pPr>
            <w:r>
              <w:rPr>
                <w:b/>
              </w:rPr>
              <w:t>Geographic Areas Affected</w:t>
            </w:r>
          </w:p>
        </w:tc>
        <w:tc>
          <w:p>
            <w:pPr>
              <w:spacing w:before="100" w:after="0"/>
            </w:pPr>
            <w:r>
              <w:rPr>
                <w:rFonts w:ascii="Calibri" w:hAnsi="Calibri"/>
                <w:color w:val="000000"/>
                <w:sz w:val="22"/>
              </w:rPr>
              <w:t xml:space="preserve">Salt Lake County</w:t>
            </w:r>
          </w:p>
        </w:tc>
      </w:tr>
      <w:tr>
        <w:trPr>
          <w:cantSplit w:val="true"/>
        </w:trPr>
        <w:tc>
          <w:tcPr>
            <w:vMerge/>
          </w:tcPr>
          <w:p/>
        </w:tc>
        <w:tc>
          <w:p>
            <w:pPr>
              <w:keepNext w:val="true"/>
              <w:spacing w:before="100" w:after="0"/>
              <w:rPr>
                <w:b/>
              </w:rPr>
            </w:pPr>
            <w:r>
              <w:rPr>
                <w:b/>
              </w:rPr>
              <w:t>Associated Goals</w:t>
            </w:r>
          </w:p>
        </w:tc>
        <w:tc>
          <w:p>
            <w:pPr>
              <w:spacing w:before="100" w:after="0"/>
            </w:pPr>
            <w:r>
              <w:rPr>
                <w:rFonts w:ascii="Calibri" w:hAnsi="Calibri"/>
                <w:color w:val="000000"/>
                <w:sz w:val="22"/>
              </w:rPr>
              <w:t xml:space="preserve">Access to crisis assistance</w:t>
            </w:r>
            <w:r>
              <w:rPr>
                <w:rFonts w:ascii="Calibri" w:hAnsi="Calibri"/>
                <w:color w:val="000000"/>
                <w:sz w:val="22"/>
              </w:rPr>
              <w:br/>
              <w:t xml:space="preserve"/>
            </w:r>
            <w:r>
              <w:rPr>
                <w:rFonts w:ascii="Calibri" w:hAnsi="Calibri"/>
                <w:color w:val="000000"/>
                <w:sz w:val="22"/>
              </w:rPr>
              <w:t xml:space="preserve">Rental Assistance</w:t>
            </w:r>
            <w:r>
              <w:rPr>
                <w:rFonts w:ascii="Calibri" w:hAnsi="Calibri"/>
                <w:color w:val="000000"/>
                <w:sz w:val="22"/>
              </w:rPr>
              <w:br/>
              <w:t xml:space="preserve"/>
            </w:r>
            <w:r>
              <w:rPr>
                <w:rFonts w:ascii="Calibri" w:hAnsi="Calibri"/>
                <w:color w:val="000000"/>
                <w:sz w:val="22"/>
              </w:rPr>
              <w:t xml:space="preserve">Administration of HOME, ESG and CDBG</w:t>
            </w:r>
          </w:p>
        </w:tc>
      </w:tr>
      <w:tr>
        <w:trPr>
          <w:cantSplit w:val="true"/>
        </w:trPr>
        <w:tc>
          <w:tcPr>
            <w:vMerge/>
          </w:tcPr>
          <w:p/>
        </w:tc>
        <w:tc>
          <w:p>
            <w:pPr>
              <w:keepNext w:val="true"/>
              <w:spacing w:before="100" w:after="0"/>
              <w:rPr>
                <w:b/>
              </w:rPr>
            </w:pPr>
            <w:r>
              <w:rPr>
                <w:b/>
              </w:rPr>
              <w:t>Description</w:t>
            </w:r>
          </w:p>
        </w:tc>
        <w:tc>
          <w:p>
            <w:pPr>
              <w:spacing w:before="100" w:after="0"/>
            </w:pPr>
            <w:r>
              <w:rPr>
                <w:rFonts w:ascii="Calibri" w:hAnsi="Calibri"/>
                <w:b/>
                <w:color w:val="000000"/>
                <w:sz w:val="22"/>
              </w:rPr>
              <w:t xml:space="preserve"> Salt Lake County will allocate funds to help those with the greatest need and who may be facing a significant challenge, to prevent homelessness and other needs. </w:t>
            </w:r>
          </w:p>
          <w:p>
            <w:pPr>
              <w:spacing w:before="100" w:after="0"/>
            </w:pPr>
          </w:p>
        </w:tc>
      </w:tr>
      <w:tr>
        <w:trPr>
          <w:cantSplit w:val="true"/>
        </w:trPr>
        <w:tc>
          <w:tcPr>
            <w:vMerge/>
          </w:tcPr>
          <w:p/>
        </w:tc>
        <w:tc>
          <w:p>
            <w:pPr>
              <w:keepNext w:val="true"/>
              <w:spacing w:before="100" w:after="0"/>
              <w:rPr>
                <w:b/>
              </w:rPr>
            </w:pPr>
            <w:r>
              <w:rPr>
                <w:b/>
              </w:rPr>
              <w:t>Basis for Relative Priority</w:t>
            </w:r>
          </w:p>
        </w:tc>
        <w:tc>
          <w:p>
            <w:pPr>
              <w:spacing w:before="100" w:after="0"/>
            </w:pPr>
            <w:r>
              <w:rPr>
                <w:rFonts w:ascii="Calibri" w:hAnsi="Calibri"/>
                <w:color w:val="000000"/>
                <w:sz w:val="22"/>
              </w:rPr>
              <w:t xml:space="preserve">O</w:t>
            </w:r>
          </w:p>
        </w:tc>
      </w:tr>
      <w:tr>
        <w:trPr>
          <w:cantSplit w:val="true"/>
        </w:trPr>
        <w:tc>
          <w:tcPr>
            <w:vMerge w:val="restart"/>
          </w:tcPr>
          <w:p>
            <w:r>
              <w:rPr>
                <w:b w:val="true"/>
              </w:rPr>
              <w:t>8</w:t>
            </w:r>
          </w:p>
        </w:tc>
        <w:tc>
          <w:p>
            <w:pPr>
              <w:keepNext w:val="true"/>
              <w:spacing w:before="100" w:after="0"/>
              <w:rPr>
                <w:b/>
              </w:rPr>
            </w:pPr>
            <w:r>
              <w:rPr>
                <w:b/>
              </w:rPr>
              <w:t>Priority Need Name</w:t>
            </w:r>
          </w:p>
        </w:tc>
        <w:tc>
          <w:p>
            <w:pPr>
              <w:spacing w:before="100" w:after="0"/>
            </w:pPr>
            <w:r>
              <w:rPr>
                <w:rFonts w:ascii="Calibri" w:hAnsi="Calibri"/>
                <w:color w:val="000000"/>
                <w:sz w:val="22"/>
              </w:rPr>
              <w:t xml:space="preserve">Stability and Safety</w:t>
            </w:r>
          </w:p>
        </w:tc>
      </w:tr>
      <w:tr>
        <w:trPr>
          <w:cantSplit w:val="true"/>
        </w:trPr>
        <w:tc>
          <w:tcPr>
            <w:vMerge/>
          </w:tcPr>
          <w:p/>
        </w:tc>
        <w:tc>
          <w:p>
            <w:pPr>
              <w:keepNext w:val="true"/>
              <w:spacing w:before="100" w:after="0"/>
              <w:rPr>
                <w:b/>
              </w:rPr>
            </w:pPr>
            <w:r>
              <w:rPr>
                <w:b/>
              </w:rPr>
              <w:t>Priority Level</w:t>
            </w:r>
          </w:p>
        </w:tc>
        <w:tc>
          <w:p>
            <w:pPr>
              <w:spacing w:before="100" w:after="0"/>
            </w:pPr>
            <w:r>
              <w:rPr>
                <w:rFonts w:ascii="Calibri" w:hAnsi="Calibri"/>
                <w:color w:val="000000"/>
                <w:sz w:val="22"/>
              </w:rPr>
              <w:t xml:space="preserve">High</w:t>
            </w:r>
          </w:p>
        </w:tc>
      </w:tr>
      <w:tr>
        <w:trPr>
          <w:cantSplit w:val="true"/>
        </w:trPr>
        <w:tc>
          <w:tcPr>
            <w:vMerge/>
          </w:tcPr>
          <w:p/>
        </w:tc>
        <w:tc>
          <w:p>
            <w:pPr>
              <w:keepNext w:val="true"/>
              <w:spacing w:before="100" w:after="0"/>
              <w:rPr>
                <w:b/>
              </w:rPr>
            </w:pPr>
            <w:r>
              <w:rPr>
                <w:b/>
              </w:rPr>
              <w:t>Population</w:t>
            </w:r>
          </w:p>
        </w:tc>
        <w:tc>
          <w:p>
            <w:pPr>
              <w:spacing w:before="100" w:after="0"/>
            </w:pPr>
            <w:r>
              <w:rPr>
                <w:rFonts w:ascii="Calibri" w:hAnsi="Calibri"/>
                <w:color w:val="000000"/>
                <w:sz w:val="22"/>
              </w:rPr>
              <w:t xml:space="preserve">Extremely Low</w:t>
            </w:r>
            <w:r>
              <w:rPr>
                <w:rFonts w:ascii="Calibri" w:hAnsi="Calibri"/>
                <w:color w:val="000000"/>
                <w:sz w:val="22"/>
              </w:rPr>
              <w:br/>
              <w:t xml:space="preserve"/>
            </w:r>
            <w:r>
              <w:rPr>
                <w:rFonts w:ascii="Calibri" w:hAnsi="Calibri"/>
                <w:color w:val="000000"/>
                <w:sz w:val="22"/>
              </w:rPr>
              <w:t xml:space="preserve">Low</w:t>
            </w:r>
            <w:r>
              <w:rPr>
                <w:rFonts w:ascii="Calibri" w:hAnsi="Calibri"/>
                <w:color w:val="000000"/>
                <w:sz w:val="22"/>
              </w:rPr>
              <w:br/>
              <w:t xml:space="preserve"/>
            </w:r>
            <w:r>
              <w:rPr>
                <w:rFonts w:ascii="Calibri" w:hAnsi="Calibri"/>
                <w:color w:val="000000"/>
                <w:sz w:val="22"/>
              </w:rPr>
              <w:t xml:space="preserve">Moderate</w:t>
            </w:r>
            <w:r>
              <w:rPr>
                <w:rFonts w:ascii="Calibri" w:hAnsi="Calibri"/>
                <w:color w:val="000000"/>
                <w:sz w:val="22"/>
              </w:rPr>
              <w:br/>
              <w:t xml:space="preserve"/>
            </w:r>
            <w:r>
              <w:rPr>
                <w:rFonts w:ascii="Calibri" w:hAnsi="Calibri"/>
                <w:color w:val="000000"/>
                <w:sz w:val="22"/>
              </w:rPr>
              <w:t xml:space="preserve">Large Families</w:t>
            </w:r>
            <w:r>
              <w:rPr>
                <w:rFonts w:ascii="Calibri" w:hAnsi="Calibri"/>
                <w:color w:val="000000"/>
                <w:sz w:val="22"/>
              </w:rPr>
              <w:br/>
              <w:t xml:space="preserve"/>
            </w:r>
            <w:r>
              <w:rPr>
                <w:rFonts w:ascii="Calibri" w:hAnsi="Calibri"/>
                <w:color w:val="000000"/>
                <w:sz w:val="22"/>
              </w:rPr>
              <w:t xml:space="preserve">Families with Children</w:t>
            </w:r>
            <w:r>
              <w:rPr>
                <w:rFonts w:ascii="Calibri" w:hAnsi="Calibri"/>
                <w:color w:val="000000"/>
                <w:sz w:val="22"/>
              </w:rPr>
              <w:br/>
              <w:t xml:space="preserve"/>
            </w:r>
            <w:r>
              <w:rPr>
                <w:rFonts w:ascii="Calibri" w:hAnsi="Calibri"/>
                <w:color w:val="000000"/>
                <w:sz w:val="22"/>
              </w:rPr>
              <w:t xml:space="preserve">Elderly</w:t>
            </w:r>
            <w:r>
              <w:rPr>
                <w:rFonts w:ascii="Calibri" w:hAnsi="Calibri"/>
                <w:color w:val="000000"/>
                <w:sz w:val="22"/>
              </w:rPr>
              <w:br/>
              <w:t xml:space="preserve"/>
            </w:r>
            <w:r>
              <w:rPr>
                <w:rFonts w:ascii="Calibri" w:hAnsi="Calibri"/>
                <w:color w:val="000000"/>
                <w:sz w:val="22"/>
              </w:rPr>
              <w:t xml:space="preserve">Frail Elderly</w:t>
            </w:r>
            <w:r>
              <w:rPr>
                <w:rFonts w:ascii="Calibri" w:hAnsi="Calibri"/>
                <w:color w:val="000000"/>
                <w:sz w:val="22"/>
              </w:rPr>
              <w:br/>
              <w:t xml:space="preserve"/>
            </w:r>
            <w:r>
              <w:rPr>
                <w:rFonts w:ascii="Calibri" w:hAnsi="Calibri"/>
                <w:color w:val="000000"/>
                <w:sz w:val="22"/>
              </w:rPr>
              <w:t xml:space="preserve">Persons with Mental Disabilities</w:t>
            </w:r>
            <w:r>
              <w:rPr>
                <w:rFonts w:ascii="Calibri" w:hAnsi="Calibri"/>
                <w:color w:val="000000"/>
                <w:sz w:val="22"/>
              </w:rPr>
              <w:br/>
              <w:t xml:space="preserve"/>
            </w:r>
            <w:r>
              <w:rPr>
                <w:rFonts w:ascii="Calibri" w:hAnsi="Calibri"/>
                <w:color w:val="000000"/>
                <w:sz w:val="22"/>
              </w:rPr>
              <w:t xml:space="preserve">Persons with Physical Disabilities</w:t>
            </w:r>
            <w:r>
              <w:rPr>
                <w:rFonts w:ascii="Calibri" w:hAnsi="Calibri"/>
                <w:color w:val="000000"/>
                <w:sz w:val="22"/>
              </w:rPr>
              <w:br/>
              <w:t xml:space="preserve"/>
            </w:r>
            <w:r>
              <w:rPr>
                <w:rFonts w:ascii="Calibri" w:hAnsi="Calibri"/>
                <w:color w:val="000000"/>
                <w:sz w:val="22"/>
              </w:rPr>
              <w:t xml:space="preserve">Persons with Developmental Disabilities</w:t>
            </w:r>
            <w:r>
              <w:rPr>
                <w:rFonts w:ascii="Calibri" w:hAnsi="Calibri"/>
                <w:color w:val="000000"/>
                <w:sz w:val="22"/>
              </w:rPr>
              <w:br/>
              <w:t xml:space="preserve"/>
            </w:r>
            <w:r>
              <w:rPr>
                <w:rFonts w:ascii="Calibri" w:hAnsi="Calibri"/>
                <w:color w:val="000000"/>
                <w:sz w:val="22"/>
              </w:rPr>
              <w:t xml:space="preserve">Persons with Alcohol or Other Addictions</w:t>
            </w:r>
            <w:r>
              <w:rPr>
                <w:rFonts w:ascii="Calibri" w:hAnsi="Calibri"/>
                <w:color w:val="000000"/>
                <w:sz w:val="22"/>
              </w:rPr>
              <w:br/>
              <w:t xml:space="preserve"/>
            </w:r>
            <w:r>
              <w:rPr>
                <w:rFonts w:ascii="Calibri" w:hAnsi="Calibri"/>
                <w:color w:val="000000"/>
                <w:sz w:val="22"/>
              </w:rPr>
              <w:t xml:space="preserve">Persons with HIV/AIDS and their Families</w:t>
            </w:r>
            <w:r>
              <w:rPr>
                <w:rFonts w:ascii="Calibri" w:hAnsi="Calibri"/>
                <w:color w:val="000000"/>
                <w:sz w:val="22"/>
              </w:rPr>
              <w:br/>
              <w:t xml:space="preserve"/>
            </w:r>
            <w:r>
              <w:rPr>
                <w:rFonts w:ascii="Calibri" w:hAnsi="Calibri"/>
                <w:color w:val="000000"/>
                <w:sz w:val="22"/>
              </w:rPr>
              <w:t xml:space="preserve">Victims of Domestic Violence</w:t>
            </w:r>
            <w:r>
              <w:rPr>
                <w:rFonts w:ascii="Calibri" w:hAnsi="Calibri"/>
                <w:color w:val="000000"/>
                <w:sz w:val="22"/>
              </w:rPr>
              <w:br/>
              <w:t xml:space="preserve"/>
            </w:r>
            <w:r>
              <w:rPr>
                <w:rFonts w:ascii="Calibri" w:hAnsi="Calibri"/>
                <w:color w:val="000000"/>
                <w:sz w:val="22"/>
              </w:rPr>
              <w:t xml:space="preserve">Non-housing Community Development</w:t>
            </w:r>
          </w:p>
        </w:tc>
      </w:tr>
      <w:tr>
        <w:trPr>
          <w:cantSplit w:val="true"/>
        </w:trPr>
        <w:tc>
          <w:tcPr>
            <w:vMerge/>
          </w:tcPr>
          <w:p/>
        </w:tc>
        <w:tc>
          <w:p>
            <w:pPr>
              <w:keepNext w:val="true"/>
              <w:spacing w:before="100" w:after="0"/>
              <w:rPr>
                <w:b/>
              </w:rPr>
            </w:pPr>
            <w:r>
              <w:rPr>
                <w:b/>
              </w:rPr>
              <w:t>Geographic Areas Affected</w:t>
            </w:r>
          </w:p>
        </w:tc>
        <w:tc>
          <w:p>
            <w:pPr>
              <w:spacing w:before="100" w:after="0"/>
            </w:pPr>
            <w:r>
              <w:rPr>
                <w:rFonts w:ascii="Calibri" w:hAnsi="Calibri"/>
                <w:color w:val="000000"/>
                <w:sz w:val="22"/>
              </w:rPr>
              <w:t xml:space="preserve">Salt Lake County</w:t>
            </w:r>
          </w:p>
        </w:tc>
      </w:tr>
      <w:tr>
        <w:trPr>
          <w:cantSplit w:val="true"/>
        </w:trPr>
        <w:tc>
          <w:tcPr>
            <w:vMerge/>
          </w:tcPr>
          <w:p/>
        </w:tc>
        <w:tc>
          <w:p>
            <w:pPr>
              <w:keepNext w:val="true"/>
              <w:spacing w:before="100" w:after="0"/>
              <w:rPr>
                <w:b/>
              </w:rPr>
            </w:pPr>
            <w:r>
              <w:rPr>
                <w:b/>
              </w:rPr>
              <w:t>Associated Goals</w:t>
            </w:r>
          </w:p>
        </w:tc>
        <w:tc>
          <w:p>
            <w:pPr>
              <w:spacing w:before="100" w:after="0"/>
            </w:pPr>
            <w:r>
              <w:rPr>
                <w:rFonts w:ascii="Calibri" w:hAnsi="Calibri"/>
                <w:color w:val="000000"/>
                <w:sz w:val="22"/>
              </w:rPr>
              <w:t xml:space="preserve">Stability and safety</w:t>
            </w:r>
            <w:r>
              <w:rPr>
                <w:rFonts w:ascii="Calibri" w:hAnsi="Calibri"/>
                <w:color w:val="000000"/>
                <w:sz w:val="22"/>
              </w:rPr>
              <w:br/>
              <w:t xml:space="preserve"/>
            </w:r>
            <w:r>
              <w:rPr>
                <w:rFonts w:ascii="Calibri" w:hAnsi="Calibri"/>
                <w:color w:val="000000"/>
                <w:sz w:val="22"/>
              </w:rPr>
              <w:t xml:space="preserve">Administration of HOME, ESG and CDBG</w:t>
            </w:r>
          </w:p>
        </w:tc>
      </w:tr>
      <w:tr>
        <w:trPr>
          <w:cantSplit w:val="true"/>
        </w:trPr>
        <w:tc>
          <w:tcPr>
            <w:vMerge/>
          </w:tcPr>
          <w:p/>
        </w:tc>
        <w:tc>
          <w:p>
            <w:pPr>
              <w:keepNext w:val="true"/>
              <w:spacing w:before="100" w:after="0"/>
              <w:rPr>
                <w:b/>
              </w:rPr>
            </w:pPr>
            <w:r>
              <w:rPr>
                <w:b/>
              </w:rPr>
              <w:t>Description</w:t>
            </w:r>
          </w:p>
        </w:tc>
        <w:tc>
          <w:p>
            <w:pPr>
              <w:spacing w:before="100" w:after="0"/>
            </w:pPr>
            <w:r>
              <w:rPr>
                <w:rFonts w:ascii="Calibri" w:hAnsi="Calibri"/>
                <w:color w:val="000000"/>
                <w:sz w:val="22"/>
              </w:rPr>
              <w:t xml:space="preserve">CDBG funds will be committed for community and support services that enable individuals and families to be stabilized and safe.  This includes programs that  will reduce or eliminate dependency on outside assistance.  These programs will include case management, education and training, legal services, special services for youth at risk of criminal involvement.  The most critical needs which unmet households will have housing instability </w:t>
            </w:r>
          </w:p>
          <w:p>
            <w:pPr>
              <w:spacing w:before="100" w:after="0"/>
            </w:pPr>
            <w:r>
              <w:rPr>
                <w:rFonts w:ascii="Calibri" w:hAnsi="Calibri"/>
                <w:color w:val="000000"/>
                <w:sz w:val="22"/>
              </w:rPr>
              <w:t xml:space="preserve">households </w:t>
            </w:r>
          </w:p>
        </w:tc>
      </w:tr>
      <w:tr>
        <w:trPr>
          <w:cantSplit w:val="true"/>
        </w:trPr>
        <w:tc>
          <w:tcPr>
            <w:vMerge/>
          </w:tcPr>
          <w:p/>
        </w:tc>
        <w:tc>
          <w:p>
            <w:pPr>
              <w:keepNext w:val="true"/>
              <w:spacing w:before="100" w:after="0"/>
              <w:rPr>
                <w:b/>
              </w:rPr>
            </w:pPr>
            <w:r>
              <w:rPr>
                <w:b/>
              </w:rPr>
              <w:t>Basis for Relative Priority</w:t>
            </w:r>
          </w:p>
        </w:tc>
        <w:tc>
          <w:p>
            <w:pPr>
              <w:spacing w:before="100" w:after="0"/>
            </w:pPr>
            <w:r>
              <w:rPr>
                <w:rFonts w:ascii="Calibri" w:hAnsi="Calibri"/>
                <w:color w:val="000000"/>
                <w:sz w:val="22"/>
              </w:rPr>
              <w:t xml:space="preserve">Non-Profit organizations need to receive sufficient funding to cover operations in order to achieve effective outcomes.  This enables a partnership with the County to coordinate targeted efforts for neighborhood revitalization, homeless initiatives, anti crime programs and other needs.  Research has identified a c</w:t>
            </w:r>
            <w:r>
              <w:rPr>
                <w:rFonts w:ascii="Calibri" w:hAnsi="Calibri"/>
                <w:color w:val="000000"/>
                <w:sz w:val="22"/>
              </w:rPr>
              <w:t xml:space="preserve">ritcal shortage of funding for youth programs.</w:t>
            </w:r>
          </w:p>
        </w:tc>
      </w:tr>
      <w:tr>
        <w:trPr>
          <w:cantSplit w:val="true"/>
        </w:trPr>
        <w:tc>
          <w:tcPr>
            <w:vMerge w:val="restart"/>
          </w:tcPr>
          <w:p>
            <w:r>
              <w:rPr>
                <w:b w:val="true"/>
              </w:rPr>
              <w:t>9</w:t>
            </w:r>
          </w:p>
        </w:tc>
        <w:tc>
          <w:p>
            <w:pPr>
              <w:keepNext w:val="true"/>
              <w:spacing w:before="100" w:after="0"/>
              <w:rPr>
                <w:b/>
              </w:rPr>
            </w:pPr>
            <w:r>
              <w:rPr>
                <w:b/>
              </w:rPr>
              <w:t>Priority Need Name</w:t>
            </w:r>
          </w:p>
        </w:tc>
        <w:tc>
          <w:p>
            <w:pPr>
              <w:spacing w:before="100" w:after="0"/>
            </w:pPr>
            <w:r>
              <w:rPr>
                <w:rFonts w:ascii="Calibri" w:hAnsi="Calibri"/>
                <w:color w:val="000000"/>
                <w:sz w:val="22"/>
              </w:rPr>
              <w:t xml:space="preserve">Economic  Stability</w:t>
            </w:r>
          </w:p>
        </w:tc>
      </w:tr>
      <w:tr>
        <w:trPr>
          <w:cantSplit w:val="true"/>
        </w:trPr>
        <w:tc>
          <w:tcPr>
            <w:vMerge/>
          </w:tcPr>
          <w:p/>
        </w:tc>
        <w:tc>
          <w:p>
            <w:pPr>
              <w:keepNext w:val="true"/>
              <w:spacing w:before="100" w:after="0"/>
              <w:rPr>
                <w:b/>
              </w:rPr>
            </w:pPr>
            <w:r>
              <w:rPr>
                <w:b/>
              </w:rPr>
              <w:t>Priority Level</w:t>
            </w:r>
          </w:p>
        </w:tc>
        <w:tc>
          <w:p>
            <w:pPr>
              <w:spacing w:before="100" w:after="0"/>
            </w:pPr>
            <w:r>
              <w:rPr>
                <w:rFonts w:ascii="Calibri" w:hAnsi="Calibri"/>
                <w:color w:val="000000"/>
                <w:sz w:val="22"/>
              </w:rPr>
              <w:t xml:space="preserve">High</w:t>
            </w:r>
          </w:p>
        </w:tc>
      </w:tr>
      <w:tr>
        <w:trPr>
          <w:cantSplit w:val="true"/>
        </w:trPr>
        <w:tc>
          <w:tcPr>
            <w:vMerge/>
          </w:tcPr>
          <w:p/>
        </w:tc>
        <w:tc>
          <w:p>
            <w:pPr>
              <w:keepNext w:val="true"/>
              <w:spacing w:before="100" w:after="0"/>
              <w:rPr>
                <w:b/>
              </w:rPr>
            </w:pPr>
            <w:r>
              <w:rPr>
                <w:b/>
              </w:rPr>
              <w:t>Population</w:t>
            </w:r>
          </w:p>
        </w:tc>
        <w:tc>
          <w:p>
            <w:pPr>
              <w:spacing w:before="100" w:after="0"/>
            </w:pPr>
            <w:r>
              <w:rPr>
                <w:rFonts w:ascii="Calibri" w:hAnsi="Calibri"/>
                <w:color w:val="000000"/>
                <w:sz w:val="22"/>
              </w:rPr>
              <w:t xml:space="preserve">Low</w:t>
            </w:r>
            <w:r>
              <w:rPr>
                <w:rFonts w:ascii="Calibri" w:hAnsi="Calibri"/>
                <w:color w:val="000000"/>
                <w:sz w:val="22"/>
              </w:rPr>
              <w:br/>
              <w:t xml:space="preserve"/>
            </w:r>
            <w:r>
              <w:rPr>
                <w:rFonts w:ascii="Calibri" w:hAnsi="Calibri"/>
                <w:color w:val="000000"/>
                <w:sz w:val="22"/>
              </w:rPr>
              <w:t xml:space="preserve">Moderate</w:t>
            </w:r>
            <w:r>
              <w:rPr>
                <w:rFonts w:ascii="Calibri" w:hAnsi="Calibri"/>
                <w:color w:val="000000"/>
                <w:sz w:val="22"/>
              </w:rPr>
              <w:br/>
              <w:t xml:space="preserve"/>
            </w:r>
            <w:r>
              <w:rPr>
                <w:rFonts w:ascii="Calibri" w:hAnsi="Calibri"/>
                <w:color w:val="000000"/>
                <w:sz w:val="22"/>
              </w:rPr>
              <w:t xml:space="preserve">Non-housing Community Development</w:t>
            </w:r>
          </w:p>
        </w:tc>
      </w:tr>
      <w:tr>
        <w:trPr>
          <w:cantSplit w:val="true"/>
        </w:trPr>
        <w:tc>
          <w:tcPr>
            <w:vMerge/>
          </w:tcPr>
          <w:p/>
        </w:tc>
        <w:tc>
          <w:p>
            <w:pPr>
              <w:keepNext w:val="true"/>
              <w:spacing w:before="100" w:after="0"/>
              <w:rPr>
                <w:b/>
              </w:rPr>
            </w:pPr>
            <w:r>
              <w:rPr>
                <w:b/>
              </w:rPr>
              <w:t>Geographic Areas Affected</w:t>
            </w:r>
          </w:p>
        </w:tc>
        <w:tc>
          <w:p>
            <w:pPr>
              <w:spacing w:before="100" w:after="0"/>
            </w:pPr>
            <w:r>
              <w:rPr>
                <w:rFonts w:ascii="Calibri" w:hAnsi="Calibri"/>
                <w:color w:val="000000"/>
                <w:sz w:val="22"/>
              </w:rPr>
              <w:t xml:space="preserve">Salt Lake County</w:t>
            </w:r>
          </w:p>
        </w:tc>
      </w:tr>
      <w:tr>
        <w:trPr>
          <w:cantSplit w:val="true"/>
        </w:trPr>
        <w:tc>
          <w:tcPr>
            <w:vMerge/>
          </w:tcPr>
          <w:p/>
        </w:tc>
        <w:tc>
          <w:p>
            <w:pPr>
              <w:keepNext w:val="true"/>
              <w:spacing w:before="100" w:after="0"/>
              <w:rPr>
                <w:b/>
              </w:rPr>
            </w:pPr>
            <w:r>
              <w:rPr>
                <w:b/>
              </w:rPr>
              <w:t>Associated Goals</w:t>
            </w:r>
          </w:p>
        </w:tc>
        <w:tc>
          <w:p>
            <w:pPr>
              <w:spacing w:before="100" w:after="0"/>
            </w:pPr>
            <w:r>
              <w:rPr>
                <w:rFonts w:ascii="Calibri" w:hAnsi="Calibri"/>
                <w:color w:val="000000"/>
                <w:sz w:val="22"/>
              </w:rPr>
              <w:t xml:space="preserve">Economic stability</w:t>
            </w:r>
            <w:r>
              <w:rPr>
                <w:rFonts w:ascii="Calibri" w:hAnsi="Calibri"/>
                <w:color w:val="000000"/>
                <w:sz w:val="22"/>
              </w:rPr>
              <w:br/>
              <w:t xml:space="preserve"/>
            </w:r>
            <w:r>
              <w:rPr>
                <w:rFonts w:ascii="Calibri" w:hAnsi="Calibri"/>
                <w:color w:val="000000"/>
                <w:sz w:val="22"/>
              </w:rPr>
              <w:t xml:space="preserve">Administration of HOME, ESG and CDBG</w:t>
            </w:r>
          </w:p>
        </w:tc>
      </w:tr>
      <w:tr>
        <w:trPr>
          <w:cantSplit w:val="true"/>
        </w:trPr>
        <w:tc>
          <w:tcPr>
            <w:vMerge/>
          </w:tcPr>
          <w:p/>
        </w:tc>
        <w:tc>
          <w:p>
            <w:pPr>
              <w:keepNext w:val="true"/>
              <w:spacing w:before="100" w:after="0"/>
              <w:rPr>
                <w:b/>
              </w:rPr>
            </w:pPr>
            <w:r>
              <w:rPr>
                <w:b/>
              </w:rPr>
              <w:t>Description</w:t>
            </w:r>
          </w:p>
        </w:tc>
        <w:tc>
          <w:p>
            <w:pPr>
              <w:spacing w:before="100" w:after="0"/>
            </w:pPr>
            <w:r>
              <w:rPr>
                <w:rFonts w:ascii="Calibri" w:hAnsi="Calibri"/>
                <w:b/>
                <w:color w:val="000000"/>
                <w:sz w:val="22"/>
              </w:rPr>
              <w:t xml:space="preserve">Creating Economic Opportunity-</w:t>
            </w:r>
          </w:p>
          <w:p>
            <w:pPr>
              <w:spacing w:before="100" w:after="0"/>
            </w:pPr>
            <w:r>
              <w:rPr>
                <w:rFonts w:ascii="Calibri" w:hAnsi="Calibri"/>
                <w:color w:val="000000"/>
                <w:sz w:val="22"/>
              </w:rPr>
              <w:t xml:space="preserve">CDBG funds will be used for</w:t>
            </w:r>
            <w:r>
              <w:rPr>
                <w:rFonts w:ascii="Calibri" w:hAnsi="Calibri"/>
                <w:b/>
                <w:color w:val="000000"/>
                <w:sz w:val="22"/>
              </w:rPr>
              <w:t xml:space="preserve"> </w:t>
            </w:r>
            <w:r>
              <w:rPr>
                <w:rFonts w:ascii="Calibri" w:hAnsi="Calibri"/>
                <w:color w:val="000000"/>
                <w:sz w:val="22"/>
              </w:rPr>
              <w:t xml:space="preserve">neighborhood revitalization and job creation for low income households.  Salt Lake County is developing a plan to help mitigate the impact of the covid on local businesses and possible retraining of workers.</w:t>
            </w:r>
          </w:p>
        </w:tc>
      </w:tr>
      <w:tr>
        <w:trPr>
          <w:cantSplit w:val="true"/>
        </w:trPr>
        <w:tc>
          <w:tcPr>
            <w:vMerge/>
          </w:tcPr>
          <w:p/>
        </w:tc>
        <w:tc>
          <w:p>
            <w:pPr>
              <w:keepNext w:val="true"/>
              <w:spacing w:before="100" w:after="0"/>
              <w:rPr>
                <w:b/>
              </w:rPr>
            </w:pPr>
            <w:r>
              <w:rPr>
                <w:b/>
              </w:rPr>
              <w:t>Basis for Relative Priority</w:t>
            </w:r>
          </w:p>
        </w:tc>
        <w:tc>
          <w:p>
            <w:pPr>
              <w:spacing w:before="100" w:after="0"/>
            </w:pPr>
            <w:r>
              <w:rPr>
                <w:rFonts w:ascii="Calibri" w:hAnsi="Calibri"/>
                <w:color w:val="000000"/>
                <w:sz w:val="22"/>
              </w:rPr>
              <w:t xml:space="preserve">Research and data support the need for economic opportunities to assist with job creation and economic stability.  Technical assistance for refugee start up businesses and microenterprise businesses will be priorities.</w:t>
            </w:r>
          </w:p>
        </w:tc>
      </w:tr>
    </w:tbl>
    <w:p/>
    <w:p>
      <w:pPr>
        <w:keepNext/>
        <w:widowControl w:val="false"/>
        <w:rPr>
          <w:b/>
          <w:sz w:val="24"/>
          <w:szCs w:val="24"/>
        </w:rPr>
      </w:pPr>
      <w:r>
        <w:rPr>
          <w:b/>
          <w:sz w:val="24"/>
          <w:szCs w:val="24"/>
        </w:rPr>
        <w:t>Narrative (Optional)</w:t>
      </w:r>
    </w:p>
    <w:p>
      <w:pPr>
        <w:spacing w:beforeAutospacing="true" w:afterAutospacing="true"/>
      </w:pPr>
      <w:r>
        <w:rPr/>
        <w:t xml:space="preserve">The priority needs where developed by reviewing the input received, analysis of the data received and input from different agencies. Impact of the COVID 19 has crreated a number of significant challenges in Salt Lake County. The full impact is not known at the time of the submittal of the Consolidated Plan and as we are able to better identify the greatest needs we may make adjustments in these priorities.</w:t>
      </w:r>
    </w:p>
    <w:p>
      <w:pPr>
        <w:spacing w:after="0" w:line="240" w:lineRule="auto"/>
      </w:pPr>
    </w:p>
    <w:p>
      <w:pPr>
        <w:spacing w:after="0" w:line="240" w:lineRule="auto"/>
      </w:pPr>
      <w:r>
        <w:br w:type="page"/>
      </w:r>
    </w:p>
    <w:p>
      <w:pPr>
        <w:rPr>
          <w:b/>
          <w:sz w:val="28"/>
          <w:szCs w:val="28"/>
        </w:rPr>
        <w:sectPr>
          <w:pgSz w:w="12240" w:h="15840"/>
          <w:pgMar w:top="1440" w:right="1440" w:bottom="1440" w:left="1440" w:header="720" w:footer="720" w:gutter="0"/>
          <w:cols w:space="720"/>
          <w:docGrid w:linePitch="360"/>
        </w:sectPr>
      </w:pPr>
    </w:p>
    <w:p>
      <w:pPr>
        <w:rPr>
          <w:b/>
          <w:sz w:val="28"/>
          <w:szCs w:val="28"/>
        </w:rPr>
      </w:pPr>
      <w:r>
        <w:rPr>
          <w:b/>
          <w:sz w:val="28"/>
          <w:szCs w:val="28"/>
        </w:rPr>
        <w:t>SP-35 Anticipated Resources - 91.420(b), 91.215(a)(4), 91.220(c)(1,2)</w:t>
      </w:r>
    </w:p>
    <w:p>
      <w:pPr>
        <w:spacing w:line="204" w:lineRule="auto"/>
        <w:rPr>
          <w:b/>
          <w:sz w:val="24"/>
          <w:szCs w:val="24"/>
        </w:rPr>
      </w:pPr>
      <w:r>
        <w:rPr>
          <w:b/>
          <w:sz w:val="24"/>
          <w:szCs w:val="24"/>
        </w:rPr>
        <w:t xml:space="preserve">Introduction </w:t>
      </w:r>
    </w:p>
    <w:p>
      <w:pPr>
        <w:spacing w:beforeAutospacing="true" w:afterAutospacing="true"/>
        <w:rPr>
          <w:b/>
          <w:sz w:val="24"/>
          <w:szCs w:val="24"/>
        </w:rPr>
      </w:pPr>
      <w:r>
        <w:rPr/>
        <w:t xml:space="preserve">Listed below are the listing of the resources of CDBG funds allocated to the Urban County, the HOME allocated to the Consortium of Salt Lake County, and the ESG funds allocated to Salt Lake County.</w:t>
      </w:r>
    </w:p>
    <w:p>
      <w:pPr>
        <w:spacing w:beforeAutospacing="true" w:afterAutospacing="true"/>
        <w:rPr>
          <w:b/>
          <w:sz w:val="24"/>
          <w:szCs w:val="24"/>
        </w:rPr>
      </w:pPr>
    </w:p>
    <w:p>
      <w:pPr>
        <w:keepNext/>
        <w:widowControl w:val="false"/>
        <w:rPr>
          <w:b/>
          <w:sz w:val="24"/>
          <w:szCs w:val="24"/>
        </w:rPr>
      </w:pPr>
      <w:r>
        <w:rPr>
          <w:b/>
          <w:sz w:val="24"/>
          <w:szCs w:val="24"/>
        </w:rPr>
        <w:t>Anticipated Resources</w:t>
      </w:r>
    </w:p>
    <w:tbl>
      <w:tblPr>
        <w:tblW w:w="5000" w:type="pct"/>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firstRow="1" w:lastRow="1" w:firstColumn="1" w:lastColumn="1" w:noHBand="0" w:noVBand="0" w:val="01E0"/>
      </w:tblPr>
      <w:tblGrid>
        <w:gridCol w:w="1808"/>
        <w:gridCol w:w="827"/>
        <w:gridCol w:w="1953"/>
        <w:gridCol w:w="1215"/>
        <w:gridCol w:w="1271"/>
        <w:gridCol w:w="1271"/>
        <w:gridCol w:w="1090"/>
        <w:gridCol w:w="1271"/>
        <w:gridCol w:w="2470"/>
      </w:tblGrid>
      <w:tr>
        <w:trPr>
          <w:cantSplit/>
          <w:tblHeader/>
        </w:trPr>
        <w:tc>
          <w:tcPr>
            <w:tcW w:w="1793" w:type="dxa"/>
            <w:vMerge w:val="restart"/>
          </w:tcPr>
          <w:p>
            <w:pPr>
              <w:keepNext/>
              <w:widowControl w:val="false"/>
              <w:spacing w:after="0" w:line="240" w:lineRule="auto"/>
              <w:jc w:val="center"/>
              <w:rPr>
                <w:b/>
                <w:sz w:val="24"/>
                <w:szCs w:val="24"/>
              </w:rPr>
            </w:pPr>
            <w:r>
              <w:rPr>
                <w:b/>
                <w:sz w:val="20"/>
                <w:szCs w:val="20"/>
              </w:rPr>
              <w:t>Program</w:t>
            </w:r>
          </w:p>
        </w:tc>
        <w:tc>
          <w:tcPr>
            <w:tcW w:w="820" w:type="dxa"/>
            <w:vMerge w:val="restart"/>
          </w:tcPr>
          <w:p>
            <w:pPr>
              <w:keepNext/>
              <w:widowControl w:val="false"/>
              <w:spacing w:after="0" w:line="240" w:lineRule="auto"/>
              <w:jc w:val="center"/>
              <w:rPr>
                <w:b/>
                <w:sz w:val="24"/>
                <w:szCs w:val="24"/>
              </w:rPr>
            </w:pPr>
            <w:r>
              <w:rPr>
                <w:b/>
                <w:sz w:val="20"/>
                <w:szCs w:val="20"/>
              </w:rPr>
              <w:t>Source of Funds</w:t>
            </w:r>
          </w:p>
        </w:tc>
        <w:tc>
          <w:tcPr>
            <w:tcW w:w="1936" w:type="dxa"/>
            <w:vMerge w:val="restart"/>
          </w:tcPr>
          <w:p>
            <w:pPr>
              <w:keepNext/>
              <w:widowControl w:val="false"/>
              <w:spacing w:after="0" w:line="240" w:lineRule="auto"/>
              <w:jc w:val="center"/>
              <w:rPr>
                <w:b/>
                <w:sz w:val="24"/>
                <w:szCs w:val="24"/>
              </w:rPr>
            </w:pPr>
            <w:r>
              <w:rPr>
                <w:b/>
                <w:sz w:val="20"/>
                <w:szCs w:val="20"/>
              </w:rPr>
              <w:t>Uses of Funds</w:t>
            </w:r>
          </w:p>
        </w:tc>
        <w:tc>
          <w:tcPr>
            <w:tcW w:w="4804" w:type="dxa"/>
            <w:gridSpan w:val="4"/>
          </w:tcPr>
          <w:p>
            <w:pPr>
              <w:keepNext/>
              <w:widowControl w:val="false"/>
              <w:spacing w:after="0" w:line="240" w:lineRule="auto"/>
              <w:jc w:val="center"/>
              <w:rPr>
                <w:b/>
                <w:sz w:val="24"/>
                <w:szCs w:val="24"/>
              </w:rPr>
            </w:pPr>
            <w:r>
              <w:rPr>
                <w:b/>
                <w:bCs/>
                <w:sz w:val="20"/>
                <w:szCs w:val="20"/>
              </w:rPr>
              <w:t>Expected Amount Available Year 1</w:t>
            </w:r>
          </w:p>
        </w:tc>
        <w:tc>
          <w:tcPr>
            <w:tcW w:w="1260" w:type="dxa"/>
            <w:vMerge w:val="restart"/>
          </w:tcPr>
          <w:p>
            <w:pPr>
              <w:keepNext/>
              <w:widowControl w:val="false"/>
              <w:spacing w:after="0" w:line="240" w:lineRule="auto"/>
              <w:jc w:val="center"/>
              <w:rPr>
                <w:b/>
                <w:sz w:val="20"/>
                <w:szCs w:val="20"/>
              </w:rPr>
            </w:pPr>
            <w:r>
              <w:rPr>
                <w:b/>
                <w:sz w:val="20"/>
                <w:szCs w:val="20"/>
              </w:rPr>
              <w:t xml:space="preserve">Expected Amount Available Remainder of ConPlan </w:t>
            </w:r>
          </w:p>
          <w:p>
            <w:pPr>
              <w:keepNext/>
              <w:widowControl w:val="false"/>
              <w:spacing w:after="0" w:line="240" w:lineRule="auto"/>
              <w:jc w:val="center"/>
              <w:rPr>
                <w:b/>
                <w:sz w:val="24"/>
                <w:szCs w:val="24"/>
              </w:rPr>
            </w:pPr>
            <w:r>
              <w:rPr>
                <w:b/>
                <w:sz w:val="20"/>
                <w:szCs w:val="20"/>
              </w:rPr>
              <w:t>$</w:t>
            </w:r>
          </w:p>
        </w:tc>
        <w:tc>
          <w:tcPr>
            <w:tcW w:w="2448" w:type="dxa"/>
            <w:vMerge w:val="restart"/>
          </w:tcPr>
          <w:p>
            <w:pPr>
              <w:keepNext/>
              <w:widowControl w:val="false"/>
              <w:spacing w:after="0" w:line="240" w:lineRule="auto"/>
              <w:jc w:val="center"/>
              <w:rPr>
                <w:b/>
                <w:sz w:val="24"/>
                <w:szCs w:val="24"/>
              </w:rPr>
            </w:pPr>
            <w:r>
              <w:rPr>
                <w:b/>
                <w:sz w:val="20"/>
                <w:szCs w:val="20"/>
              </w:rPr>
              <w:t>Narrative Description</w:t>
            </w:r>
          </w:p>
        </w:tc>
      </w:tr>
      <w:tr>
        <w:trPr>
          <w:cantSplit/>
          <w:tblHeader/>
        </w:trPr>
        <w:tc>
          <w:tcPr>
            <w:tcW w:w="1793" w:type="dxa"/>
            <w:vMerge/>
          </w:tcPr>
          <w:p>
            <w:pPr>
              <w:keepNext/>
              <w:widowControl w:val="false"/>
              <w:spacing w:after="0" w:line="240" w:lineRule="auto"/>
              <w:jc w:val="center"/>
              <w:rPr>
                <w:b/>
                <w:sz w:val="24"/>
                <w:szCs w:val="24"/>
              </w:rPr>
            </w:pPr>
          </w:p>
        </w:tc>
        <w:tc>
          <w:tcPr>
            <w:tcW w:w="820" w:type="dxa"/>
            <w:vMerge/>
          </w:tcPr>
          <w:p>
            <w:pPr>
              <w:keepNext/>
              <w:widowControl w:val="false"/>
              <w:spacing w:after="0" w:line="240" w:lineRule="auto"/>
              <w:jc w:val="center"/>
              <w:rPr>
                <w:b/>
                <w:sz w:val="24"/>
                <w:szCs w:val="24"/>
              </w:rPr>
            </w:pPr>
          </w:p>
        </w:tc>
        <w:tc>
          <w:tcPr>
            <w:tcW w:w="1936" w:type="dxa"/>
            <w:vMerge/>
          </w:tcPr>
          <w:p>
            <w:pPr>
              <w:keepNext/>
              <w:widowControl w:val="false"/>
              <w:spacing w:after="0" w:line="240" w:lineRule="auto"/>
              <w:jc w:val="center"/>
              <w:rPr>
                <w:b/>
                <w:sz w:val="24"/>
                <w:szCs w:val="24"/>
              </w:rPr>
            </w:pPr>
          </w:p>
        </w:tc>
        <w:tc>
          <w:tcPr>
            <w:tcW w:w="1204" w:type="dxa"/>
          </w:tcPr>
          <w:p>
            <w:pPr>
              <w:keepNext/>
              <w:widowControl w:val="false"/>
              <w:spacing w:after="0" w:line="240" w:lineRule="auto"/>
              <w:jc w:val="center"/>
              <w:rPr>
                <w:b/>
                <w:sz w:val="24"/>
                <w:szCs w:val="24"/>
              </w:rPr>
            </w:pPr>
            <w:r>
              <w:rPr>
                <w:b/>
                <w:sz w:val="20"/>
                <w:szCs w:val="20"/>
              </w:rPr>
              <w:t>Annual Allocation: $</w:t>
            </w:r>
          </w:p>
        </w:tc>
        <w:tc>
          <w:tcPr>
            <w:tcW w:w="1260" w:type="dxa"/>
          </w:tcPr>
          <w:p>
            <w:pPr>
              <w:keepNext/>
              <w:widowControl w:val="false"/>
              <w:spacing w:after="0" w:line="240" w:lineRule="auto"/>
              <w:jc w:val="center"/>
              <w:rPr>
                <w:b/>
                <w:sz w:val="24"/>
                <w:szCs w:val="24"/>
              </w:rPr>
            </w:pPr>
            <w:r>
              <w:rPr>
                <w:b/>
                <w:sz w:val="20"/>
                <w:szCs w:val="20"/>
              </w:rPr>
              <w:t>Program Income: $</w:t>
            </w:r>
          </w:p>
        </w:tc>
        <w:tc>
          <w:tcPr>
            <w:tcW w:w="1260" w:type="dxa"/>
          </w:tcPr>
          <w:p>
            <w:pPr>
              <w:keepNext/>
              <w:widowControl w:val="false"/>
              <w:spacing w:after="0" w:line="240" w:lineRule="auto"/>
              <w:jc w:val="center"/>
              <w:rPr>
                <w:b/>
                <w:sz w:val="24"/>
                <w:szCs w:val="24"/>
              </w:rPr>
            </w:pPr>
            <w:r>
              <w:rPr>
                <w:b/>
                <w:sz w:val="20"/>
                <w:szCs w:val="20"/>
              </w:rPr>
              <w:t>Prior Year Resources: $</w:t>
            </w:r>
          </w:p>
        </w:tc>
        <w:tc>
          <w:tcPr>
            <w:tcW w:w="1080" w:type="dxa"/>
          </w:tcPr>
          <w:p>
            <w:pPr>
              <w:keepNext/>
              <w:widowControl w:val="false"/>
              <w:spacing w:after="0" w:line="240" w:lineRule="auto"/>
              <w:jc w:val="center"/>
              <w:rPr>
                <w:b/>
                <w:sz w:val="20"/>
                <w:szCs w:val="20"/>
              </w:rPr>
            </w:pPr>
            <w:r>
              <w:rPr>
                <w:b/>
                <w:sz w:val="20"/>
                <w:szCs w:val="20"/>
              </w:rPr>
              <w:t>Total:</w:t>
            </w:r>
          </w:p>
          <w:p>
            <w:pPr>
              <w:keepNext/>
              <w:widowControl w:val="false"/>
              <w:spacing w:after="0" w:line="240" w:lineRule="auto"/>
              <w:jc w:val="center"/>
              <w:rPr>
                <w:b/>
                <w:sz w:val="24"/>
                <w:szCs w:val="24"/>
              </w:rPr>
            </w:pPr>
            <w:r>
              <w:rPr>
                <w:b/>
                <w:sz w:val="20"/>
                <w:szCs w:val="20"/>
              </w:rPr>
              <w:t>$</w:t>
            </w:r>
          </w:p>
        </w:tc>
        <w:tc>
          <w:tcPr>
            <w:tcW w:w="1260" w:type="dxa"/>
            <w:vMerge/>
          </w:tcPr>
          <w:p>
            <w:pPr>
              <w:keepNext/>
              <w:widowControl w:val="false"/>
              <w:spacing w:after="0" w:line="240" w:lineRule="auto"/>
              <w:jc w:val="center"/>
              <w:rPr>
                <w:b/>
                <w:sz w:val="24"/>
                <w:szCs w:val="24"/>
              </w:rPr>
            </w:pPr>
          </w:p>
        </w:tc>
        <w:tc>
          <w:tcPr>
            <w:tcW w:w="2448" w:type="dxa"/>
            <w:vMerge/>
          </w:tcPr>
          <w:p>
            <w:pPr>
              <w:keepNext/>
              <w:widowControl w:val="false"/>
              <w:spacing w:after="0" w:line="240" w:lineRule="auto"/>
              <w:jc w:val="center"/>
              <w:rPr>
                <w:b/>
                <w:sz w:val="24"/>
                <w:szCs w:val="24"/>
              </w:rPr>
            </w:pPr>
          </w:p>
        </w:tc>
      </w:tr>
      <w:tr>
        <w:trPr>
          <w:cantSplit w:val="true"/>
        </w:trPr>
        <w:tc>
          <w:tcPr>
            <w:vAlign w:val="top"/>
          </w:tcPr>
          <w:p>
            <w:pPr>
              <w:spacing w:beforeAutospacing="true" w:afterAutospacing="true"/>
              <w:jc w:val="left"/>
            </w:pPr>
            <w:r>
              <w:rPr>
                <w:rFonts w:ascii="Calibri" w:hAnsi="Calibri"/>
                <w:color w:val="000000"/>
                <w:sz w:val="22"/>
              </w:rPr>
              <w:t xml:space="preserve">CDBG</w:t>
            </w:r>
          </w:p>
        </w:tc>
        <w:tc>
          <w:tcPr>
            <w:vAlign w:val="top"/>
          </w:tcPr>
          <w:p>
            <w:pPr>
              <w:spacing w:beforeAutospacing="true" w:afterAutospacing="true"/>
              <w:jc w:val="left"/>
            </w:pPr>
            <w:r>
              <w:rPr>
                <w:rFonts w:ascii="Calibri" w:hAnsi="Calibri"/>
                <w:color w:val="000000"/>
                <w:sz w:val="22"/>
              </w:rPr>
              <w:t xml:space="preserve">public - federal</w:t>
            </w:r>
          </w:p>
        </w:tc>
        <w:tc>
          <w:tcPr>
            <w:vAlign w:val="bottom"/>
          </w:tcPr>
          <w:p>
            <w:pPr>
              <w:spacing w:beforeAutospacing="true" w:afterAutospacing="true"/>
              <w:jc w:val="left"/>
            </w:pPr>
            <w:r>
              <w:rPr>
                <w:rFonts w:ascii="Calibri" w:hAnsi="Calibri"/>
                <w:color w:val="000000"/>
                <w:sz w:val="22"/>
              </w:rPr>
              <w:t xml:space="preserve">Acquisition</w:t>
            </w:r>
            <w:r>
              <w:rPr>
                <w:rFonts w:ascii="Calibri" w:hAnsi="Calibri"/>
                <w:color w:val="000000"/>
                <w:sz w:val="22"/>
              </w:rPr>
              <w:br/>
              <w:t xml:space="preserve"/>
            </w:r>
            <w:r>
              <w:rPr>
                <w:rFonts w:ascii="Calibri" w:hAnsi="Calibri"/>
                <w:color w:val="000000"/>
                <w:sz w:val="22"/>
              </w:rPr>
              <w:t xml:space="preserve">Admin and Planning</w:t>
            </w:r>
            <w:r>
              <w:rPr>
                <w:rFonts w:ascii="Calibri" w:hAnsi="Calibri"/>
                <w:color w:val="000000"/>
                <w:sz w:val="22"/>
              </w:rPr>
              <w:br/>
              <w:t xml:space="preserve"/>
            </w:r>
            <w:r>
              <w:rPr>
                <w:rFonts w:ascii="Calibri" w:hAnsi="Calibri"/>
                <w:color w:val="000000"/>
                <w:sz w:val="22"/>
              </w:rPr>
              <w:t xml:space="preserve">Economic Development</w:t>
            </w:r>
            <w:r>
              <w:rPr>
                <w:rFonts w:ascii="Calibri" w:hAnsi="Calibri"/>
                <w:color w:val="000000"/>
                <w:sz w:val="22"/>
              </w:rPr>
              <w:br/>
              <w:t xml:space="preserve"/>
            </w:r>
            <w:r>
              <w:rPr>
                <w:rFonts w:ascii="Calibri" w:hAnsi="Calibri"/>
                <w:color w:val="000000"/>
                <w:sz w:val="22"/>
              </w:rPr>
              <w:t xml:space="preserve">Housing</w:t>
            </w:r>
            <w:r>
              <w:rPr>
                <w:rFonts w:ascii="Calibri" w:hAnsi="Calibri"/>
                <w:color w:val="000000"/>
                <w:sz w:val="22"/>
              </w:rPr>
              <w:br/>
              <w:t xml:space="preserve"/>
            </w:r>
            <w:r>
              <w:rPr>
                <w:rFonts w:ascii="Calibri" w:hAnsi="Calibri"/>
                <w:color w:val="000000"/>
                <w:sz w:val="22"/>
              </w:rPr>
              <w:t xml:space="preserve">Public Improvements</w:t>
            </w:r>
            <w:r>
              <w:rPr>
                <w:rFonts w:ascii="Calibri" w:hAnsi="Calibri"/>
                <w:color w:val="000000"/>
                <w:sz w:val="22"/>
              </w:rPr>
              <w:br/>
              <w:t xml:space="preserve"/>
            </w:r>
            <w:r>
              <w:rPr>
                <w:rFonts w:ascii="Calibri" w:hAnsi="Calibri"/>
                <w:color w:val="000000"/>
                <w:sz w:val="22"/>
              </w:rPr>
              <w:t xml:space="preserve">Public Services</w:t>
            </w:r>
          </w:p>
        </w:tc>
        <w:tc>
          <w:tcPr>
            <w:vAlign w:val="bottom"/>
          </w:tcPr>
          <w:p>
            <w:pPr>
              <w:spacing w:beforeAutospacing="true" w:afterAutospacing="true"/>
              <w:jc w:val="right"/>
            </w:pPr>
            <w:r>
              <w:rPr>
                <w:rFonts w:ascii="Calibri" w:hAnsi="Calibri"/>
                <w:color w:val="000000"/>
                <w:sz w:val="22"/>
              </w:rPr>
              <w:t xml:space="preserve">2,528,574</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276,216</w:t>
            </w:r>
          </w:p>
        </w:tc>
        <w:tc>
          <w:tcPr>
            <w:vAlign w:val="bottom"/>
          </w:tcPr>
          <w:p>
            <w:pPr>
              <w:spacing w:beforeAutospacing="true" w:afterAutospacing="true"/>
              <w:jc w:val="right"/>
            </w:pPr>
            <w:r>
              <w:rPr>
                <w:rFonts w:ascii="Calibri" w:hAnsi="Calibri"/>
                <w:color w:val="000000"/>
                <w:sz w:val="22"/>
              </w:rPr>
              <w:t xml:space="preserve">2,804,790</w:t>
            </w:r>
          </w:p>
        </w:tc>
        <w:tc>
          <w:tcPr>
            <w:vAlign w:val="bottom"/>
          </w:tcPr>
          <w:p>
            <w:pPr>
              <w:spacing w:beforeAutospacing="true" w:afterAutospacing="true"/>
              <w:jc w:val="right"/>
            </w:pPr>
            <w:r>
              <w:rPr>
                <w:rFonts w:ascii="Calibri" w:hAnsi="Calibri"/>
                <w:color w:val="000000"/>
                <w:sz w:val="22"/>
              </w:rPr>
              <w:t xml:space="preserve">0</w:t>
            </w:r>
          </w:p>
        </w:tc>
        <w:tc>
          <w:tcPr>
            <w:vAlign w:val="top"/>
          </w:tcPr>
          <w:p>
            <w:pPr>
              <w:spacing w:beforeAutospacing="true" w:afterAutospacing="true"/>
              <w:jc w:val="left"/>
            </w:pPr>
            <w:r>
              <w:rPr>
                <w:rFonts w:ascii="Calibri" w:hAnsi="Calibri"/>
                <w:color w:val="000000"/>
                <w:sz w:val="22"/>
              </w:rPr>
              <w:t xml:space="preserve">  </w:t>
            </w:r>
          </w:p>
        </w:tc>
      </w:tr>
      <w:tr>
        <w:trPr>
          <w:cantSplit w:val="true"/>
        </w:trPr>
        <w:tc>
          <w:tcPr>
            <w:vAlign w:val="top"/>
          </w:tcPr>
          <w:p>
            <w:pPr>
              <w:spacing w:beforeAutospacing="true" w:afterAutospacing="true"/>
              <w:jc w:val="left"/>
            </w:pPr>
            <w:r>
              <w:rPr>
                <w:rFonts w:ascii="Calibri" w:hAnsi="Calibri"/>
                <w:color w:val="000000"/>
                <w:sz w:val="22"/>
              </w:rPr>
              <w:t xml:space="preserve">HOME</w:t>
            </w:r>
          </w:p>
        </w:tc>
        <w:tc>
          <w:tcPr>
            <w:vAlign w:val="top"/>
          </w:tcPr>
          <w:p>
            <w:pPr>
              <w:spacing w:beforeAutospacing="true" w:afterAutospacing="true"/>
              <w:jc w:val="left"/>
            </w:pPr>
            <w:r>
              <w:rPr>
                <w:rFonts w:ascii="Calibri" w:hAnsi="Calibri"/>
                <w:color w:val="000000"/>
                <w:sz w:val="22"/>
              </w:rPr>
              <w:t xml:space="preserve">public - federal</w:t>
            </w:r>
          </w:p>
        </w:tc>
        <w:tc>
          <w:tcPr>
            <w:vAlign w:val="bottom"/>
          </w:tcPr>
          <w:p>
            <w:pPr>
              <w:spacing w:beforeAutospacing="true" w:afterAutospacing="true"/>
              <w:jc w:val="left"/>
            </w:pPr>
            <w:r>
              <w:rPr>
                <w:rFonts w:ascii="Calibri" w:hAnsi="Calibri"/>
                <w:color w:val="000000"/>
                <w:sz w:val="22"/>
              </w:rPr>
              <w:t xml:space="preserve">Acquisition</w:t>
            </w:r>
            <w:r>
              <w:rPr>
                <w:rFonts w:ascii="Calibri" w:hAnsi="Calibri"/>
                <w:color w:val="000000"/>
                <w:sz w:val="22"/>
              </w:rPr>
              <w:br/>
              <w:t xml:space="preserve"/>
            </w:r>
            <w:r>
              <w:rPr>
                <w:rFonts w:ascii="Calibri" w:hAnsi="Calibri"/>
                <w:color w:val="000000"/>
                <w:sz w:val="22"/>
              </w:rPr>
              <w:t xml:space="preserve">Homebuyer assistance</w:t>
            </w:r>
            <w:r>
              <w:rPr>
                <w:rFonts w:ascii="Calibri" w:hAnsi="Calibri"/>
                <w:color w:val="000000"/>
                <w:sz w:val="22"/>
              </w:rPr>
              <w:br/>
              <w:t xml:space="preserve"/>
            </w:r>
            <w:r>
              <w:rPr>
                <w:rFonts w:ascii="Calibri" w:hAnsi="Calibri"/>
                <w:color w:val="000000"/>
                <w:sz w:val="22"/>
              </w:rPr>
              <w:t xml:space="preserve">Homeowner rehab</w:t>
            </w:r>
            <w:r>
              <w:rPr>
                <w:rFonts w:ascii="Calibri" w:hAnsi="Calibri"/>
                <w:color w:val="000000"/>
                <w:sz w:val="22"/>
              </w:rPr>
              <w:br/>
              <w:t xml:space="preserve"/>
            </w:r>
            <w:r>
              <w:rPr>
                <w:rFonts w:ascii="Calibri" w:hAnsi="Calibri"/>
                <w:color w:val="000000"/>
                <w:sz w:val="22"/>
              </w:rPr>
              <w:t xml:space="preserve">Multifamily rental new construction</w:t>
            </w:r>
            <w:r>
              <w:rPr>
                <w:rFonts w:ascii="Calibri" w:hAnsi="Calibri"/>
                <w:color w:val="000000"/>
                <w:sz w:val="22"/>
              </w:rPr>
              <w:br/>
              <w:t xml:space="preserve"/>
            </w:r>
            <w:r>
              <w:rPr>
                <w:rFonts w:ascii="Calibri" w:hAnsi="Calibri"/>
                <w:color w:val="000000"/>
                <w:sz w:val="22"/>
              </w:rPr>
              <w:t xml:space="preserve">Multifamily rental rehab</w:t>
            </w:r>
            <w:r>
              <w:rPr>
                <w:rFonts w:ascii="Calibri" w:hAnsi="Calibri"/>
                <w:color w:val="000000"/>
                <w:sz w:val="22"/>
              </w:rPr>
              <w:br/>
              <w:t xml:space="preserve"/>
            </w:r>
            <w:r>
              <w:rPr>
                <w:rFonts w:ascii="Calibri" w:hAnsi="Calibri"/>
                <w:color w:val="000000"/>
                <w:sz w:val="22"/>
              </w:rPr>
              <w:t xml:space="preserve">New construction for ownership</w:t>
            </w:r>
            <w:r>
              <w:rPr>
                <w:rFonts w:ascii="Calibri" w:hAnsi="Calibri"/>
                <w:color w:val="000000"/>
                <w:sz w:val="22"/>
              </w:rPr>
              <w:br/>
              <w:t xml:space="preserve"/>
            </w:r>
            <w:r>
              <w:rPr>
                <w:rFonts w:ascii="Calibri" w:hAnsi="Calibri"/>
                <w:color w:val="000000"/>
                <w:sz w:val="22"/>
              </w:rPr>
              <w:t xml:space="preserve">TBRA</w:t>
            </w:r>
          </w:p>
        </w:tc>
        <w:tc>
          <w:tcPr>
            <w:vAlign w:val="bottom"/>
          </w:tcPr>
          <w:p>
            <w:pPr>
              <w:spacing w:beforeAutospacing="true" w:afterAutospacing="true"/>
              <w:jc w:val="right"/>
            </w:pPr>
            <w:r>
              <w:rPr>
                <w:rFonts w:ascii="Calibri" w:hAnsi="Calibri"/>
                <w:color w:val="000000"/>
                <w:sz w:val="22"/>
              </w:rPr>
              <w:t xml:space="preserve">1,754,451</w:t>
            </w:r>
          </w:p>
        </w:tc>
        <w:tc>
          <w:tcPr>
            <w:vAlign w:val="bottom"/>
          </w:tcPr>
          <w:p>
            <w:pPr>
              <w:spacing w:beforeAutospacing="true" w:afterAutospacing="true"/>
              <w:jc w:val="right"/>
            </w:pPr>
            <w:r>
              <w:rPr>
                <w:rFonts w:ascii="Calibri" w:hAnsi="Calibri"/>
                <w:color w:val="000000"/>
                <w:sz w:val="22"/>
              </w:rPr>
              <w:t xml:space="preserve">200,000</w:t>
            </w:r>
          </w:p>
        </w:tc>
        <w:tc>
          <w:tcPr>
            <w:vAlign w:val="bottom"/>
          </w:tcPr>
          <w:p>
            <w:pPr>
              <w:spacing w:beforeAutospacing="true" w:afterAutospacing="true"/>
              <w:jc w:val="right"/>
            </w:pPr>
            <w:r>
              <w:rPr>
                <w:rFonts w:ascii="Calibri" w:hAnsi="Calibri"/>
                <w:color w:val="000000"/>
                <w:sz w:val="22"/>
              </w:rPr>
              <w:t xml:space="preserve">2,216,188</w:t>
            </w:r>
          </w:p>
        </w:tc>
        <w:tc>
          <w:tcPr>
            <w:vAlign w:val="bottom"/>
          </w:tcPr>
          <w:p>
            <w:pPr>
              <w:spacing w:beforeAutospacing="true" w:afterAutospacing="true"/>
              <w:jc w:val="right"/>
            </w:pPr>
            <w:r>
              <w:rPr>
                <w:rFonts w:ascii="Calibri" w:hAnsi="Calibri"/>
                <w:color w:val="000000"/>
                <w:sz w:val="22"/>
              </w:rPr>
              <w:t xml:space="preserve">4,170,639</w:t>
            </w:r>
          </w:p>
        </w:tc>
        <w:tc>
          <w:tcPr>
            <w:vAlign w:val="bottom"/>
          </w:tcPr>
          <w:p>
            <w:pPr>
              <w:spacing w:beforeAutospacing="true" w:afterAutospacing="true"/>
              <w:jc w:val="right"/>
            </w:pPr>
            <w:r>
              <w:rPr>
                <w:rFonts w:ascii="Calibri" w:hAnsi="Calibri"/>
                <w:color w:val="000000"/>
                <w:sz w:val="22"/>
              </w:rPr>
              <w:t xml:space="preserve">0</w:t>
            </w:r>
          </w:p>
        </w:tc>
        <w:tc>
          <w:tcPr>
            <w:vAlign w:val="top"/>
          </w:tcPr>
          <w:p>
            <w:pPr>
              <w:spacing w:beforeAutospacing="true" w:afterAutospacing="true"/>
              <w:jc w:val="left"/>
            </w:pPr>
            <w:r>
              <w:rPr>
                <w:rFonts w:ascii="Calibri" w:hAnsi="Calibri"/>
                <w:color w:val="000000"/>
                <w:sz w:val="22"/>
              </w:rPr>
              <w:t xml:space="preserve">Salt Lake County has excessive overlap of match from previous years, see 2018 match report</w:t>
            </w:r>
          </w:p>
        </w:tc>
      </w:tr>
      <w:tr>
        <w:trPr>
          <w:cantSplit w:val="true"/>
        </w:trPr>
        <w:tc>
          <w:tcPr>
            <w:vAlign w:val="top"/>
          </w:tcPr>
          <w:p>
            <w:pPr>
              <w:spacing w:beforeAutospacing="true" w:afterAutospacing="true"/>
              <w:jc w:val="left"/>
            </w:pPr>
            <w:r>
              <w:rPr>
                <w:rFonts w:ascii="Calibri" w:hAnsi="Calibri"/>
                <w:color w:val="000000"/>
                <w:sz w:val="22"/>
              </w:rPr>
              <w:t xml:space="preserve">ESG</w:t>
            </w:r>
          </w:p>
        </w:tc>
        <w:tc>
          <w:tcPr>
            <w:vAlign w:val="top"/>
          </w:tcPr>
          <w:p>
            <w:pPr>
              <w:spacing w:beforeAutospacing="true" w:afterAutospacing="true"/>
              <w:jc w:val="left"/>
            </w:pPr>
            <w:r>
              <w:rPr>
                <w:rFonts w:ascii="Calibri" w:hAnsi="Calibri"/>
                <w:color w:val="000000"/>
                <w:sz w:val="22"/>
              </w:rPr>
              <w:t xml:space="preserve">public - federal</w:t>
            </w:r>
          </w:p>
        </w:tc>
        <w:tc>
          <w:tcPr>
            <w:vAlign w:val="bottom"/>
          </w:tcPr>
          <w:p>
            <w:pPr>
              <w:spacing w:beforeAutospacing="true" w:afterAutospacing="true"/>
              <w:jc w:val="left"/>
            </w:pPr>
            <w:r>
              <w:rPr>
                <w:rFonts w:ascii="Calibri" w:hAnsi="Calibri"/>
                <w:color w:val="000000"/>
                <w:sz w:val="22"/>
              </w:rPr>
              <w:t xml:space="preserve">Conversion and rehab for transitional housing</w:t>
            </w:r>
            <w:r>
              <w:rPr>
                <w:rFonts w:ascii="Calibri" w:hAnsi="Calibri"/>
                <w:color w:val="000000"/>
                <w:sz w:val="22"/>
              </w:rPr>
              <w:br/>
              <w:t xml:space="preserve"/>
            </w:r>
            <w:r>
              <w:rPr>
                <w:rFonts w:ascii="Calibri" w:hAnsi="Calibri"/>
                <w:color w:val="000000"/>
                <w:sz w:val="22"/>
              </w:rPr>
              <w:t xml:space="preserve">Financial Assistance</w:t>
            </w:r>
            <w:r>
              <w:rPr>
                <w:rFonts w:ascii="Calibri" w:hAnsi="Calibri"/>
                <w:color w:val="000000"/>
                <w:sz w:val="22"/>
              </w:rPr>
              <w:br/>
              <w:t xml:space="preserve"/>
            </w:r>
            <w:r>
              <w:rPr>
                <w:rFonts w:ascii="Calibri" w:hAnsi="Calibri"/>
                <w:color w:val="000000"/>
                <w:sz w:val="22"/>
              </w:rPr>
              <w:t xml:space="preserve">Overnight shelter</w:t>
            </w:r>
            <w:r>
              <w:rPr>
                <w:rFonts w:ascii="Calibri" w:hAnsi="Calibri"/>
                <w:color w:val="000000"/>
                <w:sz w:val="22"/>
              </w:rPr>
              <w:br/>
              <w:t xml:space="preserve"/>
            </w:r>
            <w:r>
              <w:rPr>
                <w:rFonts w:ascii="Calibri" w:hAnsi="Calibri"/>
                <w:color w:val="000000"/>
                <w:sz w:val="22"/>
              </w:rPr>
              <w:t xml:space="preserve">Rapid re-housing (rental assistance)</w:t>
            </w:r>
            <w:r>
              <w:rPr>
                <w:rFonts w:ascii="Calibri" w:hAnsi="Calibri"/>
                <w:color w:val="000000"/>
                <w:sz w:val="22"/>
              </w:rPr>
              <w:br/>
              <w:t xml:space="preserve"/>
            </w:r>
            <w:r>
              <w:rPr>
                <w:rFonts w:ascii="Calibri" w:hAnsi="Calibri"/>
                <w:color w:val="000000"/>
                <w:sz w:val="22"/>
              </w:rPr>
              <w:t xml:space="preserve">Rental Assistance</w:t>
            </w:r>
            <w:r>
              <w:rPr>
                <w:rFonts w:ascii="Calibri" w:hAnsi="Calibri"/>
                <w:color w:val="000000"/>
                <w:sz w:val="22"/>
              </w:rPr>
              <w:br/>
              <w:t xml:space="preserve"/>
            </w:r>
            <w:r>
              <w:rPr>
                <w:rFonts w:ascii="Calibri" w:hAnsi="Calibri"/>
                <w:color w:val="000000"/>
                <w:sz w:val="22"/>
              </w:rPr>
              <w:t xml:space="preserve">Services</w:t>
            </w:r>
            <w:r>
              <w:rPr>
                <w:rFonts w:ascii="Calibri" w:hAnsi="Calibri"/>
                <w:color w:val="000000"/>
                <w:sz w:val="22"/>
              </w:rPr>
              <w:br/>
              <w:t xml:space="preserve"/>
            </w:r>
            <w:r>
              <w:rPr>
                <w:rFonts w:ascii="Calibri" w:hAnsi="Calibri"/>
                <w:color w:val="000000"/>
                <w:sz w:val="22"/>
              </w:rPr>
              <w:t xml:space="preserve">Transitional housing</w:t>
            </w:r>
          </w:p>
        </w:tc>
        <w:tc>
          <w:tcPr>
            <w:vAlign w:val="bottom"/>
          </w:tcPr>
          <w:p>
            <w:pPr>
              <w:spacing w:beforeAutospacing="true" w:afterAutospacing="true"/>
              <w:jc w:val="right"/>
            </w:pPr>
            <w:r>
              <w:rPr>
                <w:rFonts w:ascii="Calibri" w:hAnsi="Calibri"/>
                <w:color w:val="000000"/>
                <w:sz w:val="22"/>
              </w:rPr>
              <w:t xml:space="preserve">217,817</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217,817</w:t>
            </w:r>
          </w:p>
        </w:tc>
        <w:tc>
          <w:tcPr>
            <w:vAlign w:val="bottom"/>
          </w:tcPr>
          <w:p>
            <w:pPr>
              <w:spacing w:beforeAutospacing="true" w:afterAutospacing="true"/>
              <w:jc w:val="right"/>
            </w:pPr>
            <w:r>
              <w:rPr>
                <w:rFonts w:ascii="Calibri" w:hAnsi="Calibri"/>
                <w:color w:val="000000"/>
                <w:sz w:val="22"/>
              </w:rPr>
              <w:t xml:space="preserve">0</w:t>
            </w:r>
          </w:p>
        </w:tc>
        <w:tc>
          <w:tcPr>
            <w:vAlign w:val="top"/>
          </w:tcPr>
          <w:p>
            <w:pPr>
              <w:spacing w:beforeAutospacing="true" w:afterAutospacing="true"/>
              <w:jc w:val="left"/>
            </w:pPr>
            <w:r>
              <w:rPr>
                <w:rFonts w:ascii="Calibri" w:hAnsi="Calibri"/>
                <w:color w:val="000000"/>
                <w:sz w:val="22"/>
              </w:rPr>
              <w:t xml:space="preserve">  </w:t>
            </w:r>
          </w:p>
        </w:tc>
      </w:tr>
    </w:tbl>
    <w:p>
      <w:pPr>
        <w:pStyle w:val="Caption"/>
        <w:jc w:val="center"/>
        <w:rPr>
          <w:rFonts w:asciiTheme="minorHAnsi" w:hAnsiTheme="minorHAnsi"/>
        </w:rPr>
      </w:pPr>
      <w:r>
        <w:rPr>
          <w:rFonts w:asciiTheme="minorHAnsi" w:hAnsiTheme="minorHAnsi"/>
        </w:rPr>
        <w:t xml:space="preserve">Table </w:t>
        <w:fldChar w:fldCharType="begin"/>
        <w:instrText xml:space="preserve"> SEQ Table \* ARABIC </w:instrText>
        <w:fldChar w:fldCharType="separate"/>
        <w:t>20</w:t>
        <w:fldChar w:fldCharType="end"/>
        <w:t xml:space="preserve"> - Anticipated Resources</w:t>
      </w:r>
    </w:p>
    <w:p>
      <w:pPr>
        <w:rPr>
          <w:b/>
          <w:sz w:val="24"/>
          <w:szCs w:val="24"/>
        </w:rPr>
      </w:pPr>
    </w:p>
    <w:p>
      <w:pPr>
        <w:rPr>
          <w:b/>
          <w:sz w:val="24"/>
          <w:szCs w:val="24"/>
        </w:rPr>
      </w:pPr>
      <w:r>
        <w:rPr>
          <w:b/>
          <w:sz w:val="24"/>
          <w:szCs w:val="24"/>
        </w:rPr>
        <w:t>Explain how federal funds will leverage those additional resources (private, state and local funds), including a description of how matching requirements will be satisfied</w:t>
      </w:r>
    </w:p>
    <w:p>
      <w:pPr>
        <w:spacing w:beforeAutospacing="true" w:afterAutospacing="true"/>
        <w:rPr>
          <w:szCs w:val="24"/>
        </w:rPr>
      </w:pPr>
      <w:r>
        <w:rPr/>
        <w:t xml:space="preserve">Salt Lake County provides a match from general funds for the amount of $200,000 to help meet the match requirements of the HOME Investment Partnership Program. The additional match requirement of over $750,000 from the Federal Home Loan Grant we received in 2019 to fund the retrofit of 35 homes as part of the aging in palace program.</w:t>
      </w:r>
    </w:p>
    <w:p>
      <w:pPr>
        <w:rPr>
          <w:b/>
          <w:sz w:val="24"/>
          <w:szCs w:val="24"/>
        </w:rPr>
      </w:pPr>
      <w:r>
        <w:rPr>
          <w:b/>
          <w:sz w:val="24"/>
          <w:szCs w:val="24"/>
        </w:rPr>
        <w:t>If appropriate, describe publically owned land or property located within the state that may be used to address the needs identified in the plan</w:t>
      </w:r>
    </w:p>
    <w:p>
      <w:pPr>
        <w:spacing w:beforeAutospacing="true" w:afterAutospacing="true"/>
        <w:rPr>
          <w:szCs w:val="24"/>
        </w:rPr>
      </w:pPr>
      <w:r>
        <w:rPr/>
        <w:t xml:space="preserve">not applicable</w:t>
      </w:r>
    </w:p>
    <w:p>
      <w:pPr>
        <w:spacing w:line="204" w:lineRule="auto"/>
        <w:rPr>
          <w:b/>
          <w:sz w:val="24"/>
          <w:szCs w:val="24"/>
        </w:rPr>
      </w:pPr>
      <w:r>
        <w:rPr>
          <w:b/>
          <w:sz w:val="24"/>
          <w:szCs w:val="24"/>
        </w:rPr>
        <w:t>Discussion</w:t>
      </w:r>
    </w:p>
    <w:p>
      <w:pPr>
        <w:spacing w:beforeAutospacing="true" w:afterAutospacing="true"/>
      </w:pPr>
      <w:r>
        <w:rPr/>
        <w:t xml:space="preserve">The impact of COVID 19 occured at the end of the process to allocate 2020 funds. Salt Lake County will begin the implementation of the COVID 19 CDBG, ESG funding around the end of June. The plan for the use of these funds will be placed in the substantial amendment to 2019 action plan. As we better understand the impact of COVID 19 we may need to adjust the use of 2020 funding to meet critical needs caused by the impact of COVID 19</w:t>
      </w:r>
    </w:p>
    <w:p>
      <w:pPr>
        <w:spacing w:line="204" w:lineRule="auto"/>
        <w:sectPr>
          <w:pgSz w:w="15840" w:h="12240" w:orient="landscape"/>
          <w:pgMar w:top="1440" w:right="1440" w:bottom="1440" w:left="1440" w:header="720" w:footer="720" w:gutter="0"/>
          <w:cols w:space="720"/>
          <w:docGrid w:linePitch="360"/>
        </w:sectPr>
      </w:pPr>
    </w:p>
    <w:p>
      <w:pPr>
        <w:pageBreakBefore/>
        <w:rPr>
          <w:b/>
          <w:sz w:val="28"/>
          <w:szCs w:val="28"/>
        </w:rPr>
      </w:pPr>
      <w:r>
        <w:rPr>
          <w:b/>
          <w:sz w:val="28"/>
          <w:szCs w:val="28"/>
        </w:rPr>
        <w:t>SP-40 Institutional Delivery Structure - 91.415, 91.215(k)</w:t>
      </w:r>
    </w:p>
    <w:p>
      <w:pPr>
        <w:rPr>
          <w:rFonts w:cs="Arial"/>
        </w:rPr>
      </w:pPr>
      <w:r>
        <w:rPr>
          <w:rFonts w:cs="Arial"/>
        </w:rPr>
        <w:t>Explain the institutional structure through which the jurisdiction will carry out its consolidated plan including private industry, non-profit organizations, and public institutions.</w:t>
      </w:r>
    </w:p>
    <w:tbl>
      <w:tblPr>
        <w:tblW w:w="5000" w:type="pct"/>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15" w:type="dxa"/>
          <w:right w:w="115" w:type="dxa"/>
        </w:tblCellMar>
        <w:tblLook w:firstRow="1" w:lastRow="1" w:firstColumn="1" w:lastColumn="1" w:noHBand="0" w:noVBand="0" w:val="01E0"/>
      </w:tblPr>
      <w:tblGrid>
        <w:gridCol w:w="2425"/>
        <w:gridCol w:w="2352"/>
        <w:gridCol w:w="2352"/>
        <w:gridCol w:w="2461"/>
      </w:tblGrid>
      <w:tr>
        <w:trPr>
          <w:cantSplit/>
          <w:tblHeader/>
        </w:trPr>
        <w:tc>
          <w:tcPr>
            <w:tcW w:w="2425" w:type="dxa"/>
          </w:tcPr>
          <w:p>
            <w:pPr>
              <w:keepNext/>
              <w:widowControl w:val="false"/>
              <w:spacing w:after="0" w:line="240" w:lineRule="auto"/>
              <w:jc w:val="center"/>
              <w:rPr>
                <w:rFonts w:cs="Arial"/>
              </w:rPr>
            </w:pPr>
            <w:r>
              <w:rPr>
                <w:b/>
                <w:bCs/>
              </w:rPr>
              <w:t>Responsible Entity</w:t>
            </w:r>
          </w:p>
        </w:tc>
        <w:tc>
          <w:tcPr>
            <w:tcW w:w="2352" w:type="dxa"/>
          </w:tcPr>
          <w:p>
            <w:pPr>
              <w:keepNext/>
              <w:widowControl w:val="false"/>
              <w:spacing w:after="0" w:line="240" w:lineRule="auto"/>
              <w:jc w:val="center"/>
              <w:rPr>
                <w:rFonts w:cs="Arial"/>
              </w:rPr>
            </w:pPr>
            <w:r>
              <w:rPr>
                <w:b/>
                <w:bCs/>
              </w:rPr>
              <w:t>Responsible Entity Type</w:t>
            </w:r>
          </w:p>
        </w:tc>
        <w:tc>
          <w:tcPr>
            <w:tcW w:w="2352" w:type="dxa"/>
          </w:tcPr>
          <w:p>
            <w:pPr>
              <w:keepNext/>
              <w:widowControl w:val="false"/>
              <w:spacing w:after="0" w:line="240" w:lineRule="auto"/>
              <w:jc w:val="center"/>
              <w:rPr>
                <w:rFonts w:cs="Arial"/>
              </w:rPr>
            </w:pPr>
            <w:r>
              <w:rPr>
                <w:b/>
                <w:bCs/>
              </w:rPr>
              <w:t>Role</w:t>
            </w:r>
          </w:p>
        </w:tc>
        <w:tc>
          <w:tcPr>
            <w:tcW w:w="2461" w:type="dxa"/>
          </w:tcPr>
          <w:p>
            <w:pPr>
              <w:keepNext/>
              <w:widowControl w:val="false"/>
              <w:spacing w:after="0" w:line="240" w:lineRule="auto"/>
              <w:jc w:val="center"/>
              <w:rPr>
                <w:rFonts w:cs="Arial"/>
              </w:rPr>
            </w:pPr>
            <w:r>
              <w:rPr>
                <w:b/>
                <w:bCs/>
              </w:rPr>
              <w:t>Geographic Area Served</w:t>
            </w:r>
          </w:p>
        </w:tc>
      </w:tr>
      <w:tr>
        <w:trPr>
          <w:cantSplit w:val="true"/>
        </w:trPr>
        <w:tc>
          <w:tcPr>
            <w:vAlign w:val="top"/>
          </w:tcPr>
          <w:p>
            <w:pPr>
              <w:spacing w:beforeAutospacing="true" w:afterAutospacing="true"/>
              <w:jc w:val="left"/>
            </w:pPr>
            <w:r>
              <w:rPr>
                <w:rFonts w:ascii="Calibri" w:hAnsi="Calibri"/>
                <w:color w:val="000000"/>
                <w:sz w:val="22"/>
              </w:rPr>
              <w:t xml:space="preserve">SALT LAKE COUNTY</w:t>
            </w:r>
          </w:p>
        </w:tc>
        <w:tc>
          <w:tcPr>
            <w:vAlign w:val="top"/>
          </w:tcPr>
          <w:p>
            <w:pPr>
              <w:spacing w:beforeAutospacing="true" w:afterAutospacing="true"/>
              <w:jc w:val="left"/>
            </w:pPr>
            <w:r>
              <w:rPr>
                <w:rFonts w:ascii="Calibri" w:hAnsi="Calibri"/>
                <w:color w:val="000000"/>
                <w:sz w:val="22"/>
              </w:rPr>
              <w:t xml:space="preserve">Government</w:t>
            </w:r>
          </w:p>
        </w:tc>
        <w:tc>
          <w:tcPr>
            <w:vAlign w:val="top"/>
          </w:tcPr>
          <w:p>
            <w:pPr>
              <w:spacing w:beforeAutospacing="true" w:afterAutospacing="true"/>
              <w:jc w:val="left"/>
            </w:pPr>
            <w:r>
              <w:rPr>
                <w:rFonts w:ascii="Calibri" w:hAnsi="Calibri"/>
                <w:color w:val="000000"/>
                <w:sz w:val="22"/>
              </w:rPr>
              <w:t xml:space="preserve">Economic Development</w:t>
            </w:r>
            <w:r>
              <w:rPr>
                <w:rFonts w:ascii="Calibri" w:hAnsi="Calibri"/>
                <w:color w:val="000000"/>
                <w:sz w:val="22"/>
              </w:rPr>
              <w:br/>
              <w:t xml:space="preserve"/>
            </w:r>
            <w:r>
              <w:rPr>
                <w:rFonts w:ascii="Calibri" w:hAnsi="Calibri"/>
                <w:color w:val="000000"/>
                <w:sz w:val="22"/>
              </w:rPr>
              <w:t xml:space="preserve">Homelessness</w:t>
            </w:r>
            <w:r>
              <w:rPr>
                <w:rFonts w:ascii="Calibri" w:hAnsi="Calibri"/>
                <w:color w:val="000000"/>
                <w:sz w:val="22"/>
              </w:rPr>
              <w:br/>
              <w:t xml:space="preserve"/>
            </w:r>
            <w:r>
              <w:rPr>
                <w:rFonts w:ascii="Calibri" w:hAnsi="Calibri"/>
                <w:color w:val="000000"/>
                <w:sz w:val="22"/>
              </w:rPr>
              <w:t xml:space="preserve">Non-homeless special needs</w:t>
            </w:r>
            <w:r>
              <w:rPr>
                <w:rFonts w:ascii="Calibri" w:hAnsi="Calibri"/>
                <w:color w:val="000000"/>
                <w:sz w:val="22"/>
              </w:rPr>
              <w:br/>
              <w:t xml:space="preserve"/>
            </w:r>
            <w:r>
              <w:rPr>
                <w:rFonts w:ascii="Calibri" w:hAnsi="Calibri"/>
                <w:color w:val="000000"/>
                <w:sz w:val="22"/>
              </w:rPr>
              <w:t xml:space="preserve">Ownership</w:t>
            </w:r>
            <w:r>
              <w:rPr>
                <w:rFonts w:ascii="Calibri" w:hAnsi="Calibri"/>
                <w:color w:val="000000"/>
                <w:sz w:val="22"/>
              </w:rPr>
              <w:br/>
              <w:t xml:space="preserve"/>
            </w:r>
            <w:r>
              <w:rPr>
                <w:rFonts w:ascii="Calibri" w:hAnsi="Calibri"/>
                <w:color w:val="000000"/>
                <w:sz w:val="22"/>
              </w:rPr>
              <w:t xml:space="preserve">Planning</w:t>
            </w:r>
            <w:r>
              <w:rPr>
                <w:rFonts w:ascii="Calibri" w:hAnsi="Calibri"/>
                <w:color w:val="000000"/>
                <w:sz w:val="22"/>
              </w:rPr>
              <w:br/>
              <w:t xml:space="preserve"/>
            </w:r>
            <w:r>
              <w:rPr>
                <w:rFonts w:ascii="Calibri" w:hAnsi="Calibri"/>
                <w:color w:val="000000"/>
                <w:sz w:val="22"/>
              </w:rPr>
              <w:t xml:space="preserve">Rental</w:t>
            </w:r>
            <w:r>
              <w:rPr>
                <w:rFonts w:ascii="Calibri" w:hAnsi="Calibri"/>
                <w:color w:val="000000"/>
                <w:sz w:val="22"/>
              </w:rPr>
              <w:br/>
              <w:t xml:space="preserve"/>
            </w:r>
            <w:r>
              <w:rPr>
                <w:rFonts w:ascii="Calibri" w:hAnsi="Calibri"/>
                <w:color w:val="000000"/>
                <w:sz w:val="22"/>
              </w:rPr>
              <w:t xml:space="preserve">neighborhood improvements</w:t>
            </w:r>
            <w:r>
              <w:rPr>
                <w:rFonts w:ascii="Calibri" w:hAnsi="Calibri"/>
                <w:color w:val="000000"/>
                <w:sz w:val="22"/>
              </w:rPr>
              <w:br/>
              <w:t xml:space="preserve"/>
            </w:r>
            <w:r>
              <w:rPr>
                <w:rFonts w:ascii="Calibri" w:hAnsi="Calibri"/>
                <w:color w:val="000000"/>
                <w:sz w:val="22"/>
              </w:rPr>
              <w:t xml:space="preserve">public facilities</w:t>
            </w:r>
            <w:r>
              <w:rPr>
                <w:rFonts w:ascii="Calibri" w:hAnsi="Calibri"/>
                <w:color w:val="000000"/>
                <w:sz w:val="22"/>
              </w:rPr>
              <w:br/>
              <w:t xml:space="preserve"/>
            </w:r>
            <w:r>
              <w:rPr>
                <w:rFonts w:ascii="Calibri" w:hAnsi="Calibri"/>
                <w:color w:val="000000"/>
                <w:sz w:val="22"/>
              </w:rPr>
              <w:t xml:space="preserve">public services</w:t>
            </w:r>
          </w:p>
        </w:tc>
        <w:tc>
          <w:tcPr>
            <w:vAlign w:val="top"/>
          </w:tcPr>
          <w:p>
            <w:pPr>
              <w:spacing w:beforeAutospacing="true" w:afterAutospacing="true"/>
              <w:jc w:val="left"/>
            </w:pPr>
            <w:r>
              <w:rPr>
                <w:rFonts w:ascii="Calibri" w:hAnsi="Calibri"/>
                <w:color w:val="000000"/>
                <w:sz w:val="22"/>
              </w:rPr>
              <w:t xml:space="preserve">Other</w:t>
            </w:r>
          </w:p>
        </w:tc>
      </w:tr>
      <w:tr>
        <w:trPr>
          <w:cantSplit w:val="true"/>
        </w:trPr>
        <w:tc>
          <w:tcPr>
            <w:vAlign w:val="top"/>
          </w:tcPr>
          <w:p>
            <w:pPr>
              <w:spacing w:beforeAutospacing="true" w:afterAutospacing="true"/>
              <w:jc w:val="left"/>
            </w:pPr>
            <w:r>
              <w:rPr>
                <w:rFonts w:ascii="Calibri" w:hAnsi="Calibri"/>
                <w:color w:val="000000"/>
                <w:sz w:val="22"/>
              </w:rPr>
              <w:t xml:space="preserve">The Road Home</w:t>
            </w:r>
          </w:p>
        </w:tc>
        <w:tc>
          <w:tcPr>
            <w:vAlign w:val="top"/>
          </w:tcPr>
          <w:p>
            <w:pPr>
              <w:spacing w:beforeAutospacing="true" w:afterAutospacing="true"/>
              <w:jc w:val="left"/>
            </w:pPr>
            <w:r>
              <w:rPr>
                <w:rFonts w:ascii="Calibri" w:hAnsi="Calibri"/>
                <w:color w:val="000000"/>
                <w:sz w:val="22"/>
              </w:rPr>
              <w:t xml:space="preserve">Non-profit organizations</w:t>
            </w:r>
          </w:p>
        </w:tc>
        <w:tc>
          <w:tcPr>
            <w:vAlign w:val="top"/>
          </w:tcPr>
          <w:p>
            <w:pPr>
              <w:spacing w:beforeAutospacing="true" w:afterAutospacing="true"/>
              <w:jc w:val="left"/>
            </w:pPr>
            <w:r>
              <w:rPr>
                <w:rFonts w:ascii="Calibri" w:hAnsi="Calibri"/>
                <w:color w:val="000000"/>
                <w:sz w:val="22"/>
              </w:rPr>
              <w:t xml:space="preserve">Homelessness</w:t>
            </w:r>
          </w:p>
        </w:tc>
        <w:tc>
          <w:tcPr>
            <w:vAlign w:val="top"/>
          </w:tcPr>
          <w:p>
            <w:pPr>
              <w:spacing w:beforeAutospacing="true" w:afterAutospacing="true"/>
              <w:jc w:val="left"/>
            </w:pPr>
            <w:r>
              <w:rPr>
                <w:rFonts w:ascii="Calibri" w:hAnsi="Calibri"/>
                <w:color w:val="000000"/>
                <w:sz w:val="22"/>
              </w:rPr>
              <w:t xml:space="preserve">Region</w:t>
            </w:r>
          </w:p>
        </w:tc>
      </w:tr>
      <w:tr>
        <w:trPr>
          <w:cantSplit w:val="true"/>
        </w:trPr>
        <w:tc>
          <w:tcPr>
            <w:vAlign w:val="top"/>
          </w:tcPr>
          <w:p>
            <w:pPr>
              <w:spacing w:beforeAutospacing="true" w:afterAutospacing="true"/>
              <w:jc w:val="left"/>
            </w:pPr>
            <w:r>
              <w:rPr>
                <w:rFonts w:ascii="Calibri" w:hAnsi="Calibri"/>
                <w:color w:val="000000"/>
                <w:sz w:val="22"/>
              </w:rPr>
              <w:t xml:space="preserve">Salt Lake Community action Program</w:t>
            </w:r>
          </w:p>
        </w:tc>
        <w:tc>
          <w:tcPr>
            <w:vAlign w:val="top"/>
          </w:tcPr>
          <w:p>
            <w:pPr>
              <w:spacing w:beforeAutospacing="true" w:afterAutospacing="true"/>
              <w:jc w:val="left"/>
            </w:pPr>
            <w:r>
              <w:rPr>
                <w:rFonts w:ascii="Calibri" w:hAnsi="Calibri"/>
                <w:color w:val="000000"/>
                <w:sz w:val="22"/>
              </w:rPr>
              <w:t xml:space="preserve">Non-profit organizations</w:t>
            </w:r>
          </w:p>
        </w:tc>
        <w:tc>
          <w:tcPr>
            <w:vAlign w:val="top"/>
          </w:tcPr>
          <w:p>
            <w:pPr>
              <w:spacing w:beforeAutospacing="true" w:afterAutospacing="true"/>
              <w:jc w:val="left"/>
            </w:pPr>
            <w:r>
              <w:rPr>
                <w:rFonts w:ascii="Calibri" w:hAnsi="Calibri"/>
                <w:color w:val="000000"/>
                <w:sz w:val="22"/>
              </w:rPr>
              <w:t xml:space="preserve">Homelessness</w:t>
            </w:r>
            <w:r>
              <w:rPr>
                <w:rFonts w:ascii="Calibri" w:hAnsi="Calibri"/>
                <w:color w:val="000000"/>
                <w:sz w:val="22"/>
              </w:rPr>
              <w:br/>
              <w:t xml:space="preserve"/>
            </w:r>
            <w:r>
              <w:rPr>
                <w:rFonts w:ascii="Calibri" w:hAnsi="Calibri"/>
                <w:color w:val="000000"/>
                <w:sz w:val="22"/>
              </w:rPr>
              <w:t xml:space="preserve">Rental</w:t>
            </w:r>
          </w:p>
        </w:tc>
        <w:tc>
          <w:tcPr>
            <w:vAlign w:val="top"/>
          </w:tcPr>
          <w:p>
            <w:pPr>
              <w:spacing w:beforeAutospacing="true" w:afterAutospacing="true"/>
              <w:jc w:val="left"/>
            </w:pPr>
            <w:r>
              <w:rPr>
                <w:rFonts w:ascii="Calibri" w:hAnsi="Calibri"/>
                <w:color w:val="000000"/>
                <w:sz w:val="22"/>
              </w:rPr>
              <w:t xml:space="preserve">Region</w:t>
            </w:r>
          </w:p>
        </w:tc>
      </w:tr>
      <w:tr>
        <w:trPr>
          <w:cantSplit w:val="true"/>
        </w:trPr>
        <w:tc>
          <w:tcPr>
            <w:vAlign w:val="top"/>
          </w:tcPr>
          <w:p>
            <w:pPr>
              <w:spacing w:beforeAutospacing="true" w:afterAutospacing="true"/>
              <w:jc w:val="left"/>
            </w:pPr>
            <w:r>
              <w:rPr>
                <w:rFonts w:ascii="Calibri" w:hAnsi="Calibri"/>
                <w:color w:val="000000"/>
                <w:sz w:val="22"/>
              </w:rPr>
              <w:t xml:space="preserve">COMMUNITY DEVELOPMENT CORPORATION OF UTAH</w:t>
            </w:r>
          </w:p>
        </w:tc>
        <w:tc>
          <w:tcPr>
            <w:vAlign w:val="top"/>
          </w:tcPr>
          <w:p>
            <w:pPr>
              <w:spacing w:beforeAutospacing="true" w:afterAutospacing="true"/>
              <w:jc w:val="left"/>
            </w:pPr>
            <w:r>
              <w:rPr>
                <w:rFonts w:ascii="Calibri" w:hAnsi="Calibri"/>
                <w:color w:val="000000"/>
                <w:sz w:val="22"/>
              </w:rPr>
              <w:t xml:space="preserve">Non-profit organizations</w:t>
            </w:r>
          </w:p>
        </w:tc>
        <w:tc>
          <w:tcPr>
            <w:vAlign w:val="top"/>
          </w:tcPr>
          <w:p>
            <w:pPr>
              <w:spacing w:beforeAutospacing="true" w:afterAutospacing="true"/>
              <w:jc w:val="left"/>
            </w:pPr>
            <w:r>
              <w:rPr>
                <w:rFonts w:ascii="Calibri" w:hAnsi="Calibri"/>
                <w:color w:val="000000"/>
                <w:sz w:val="22"/>
              </w:rPr>
              <w:t xml:space="preserve">Ownership</w:t>
            </w:r>
          </w:p>
        </w:tc>
        <w:tc>
          <w:tcPr>
            <w:vAlign w:val="top"/>
          </w:tcPr>
          <w:p>
            <w:pPr>
              <w:spacing w:beforeAutospacing="true" w:afterAutospacing="true"/>
              <w:jc w:val="left"/>
            </w:pPr>
            <w:r>
              <w:rPr>
                <w:rFonts w:ascii="Calibri" w:hAnsi="Calibri"/>
                <w:color w:val="000000"/>
                <w:sz w:val="22"/>
              </w:rPr>
              <w:t xml:space="preserve">Jurisdiction</w:t>
            </w:r>
          </w:p>
        </w:tc>
      </w:tr>
      <w:tr>
        <w:trPr>
          <w:cantSplit w:val="true"/>
        </w:trPr>
        <w:tc>
          <w:tcPr>
            <w:vAlign w:val="top"/>
          </w:tcPr>
          <w:p>
            <w:pPr>
              <w:spacing w:beforeAutospacing="true" w:afterAutospacing="true"/>
              <w:jc w:val="left"/>
            </w:pPr>
            <w:r>
              <w:rPr>
                <w:rFonts w:ascii="Calibri" w:hAnsi="Calibri"/>
                <w:color w:val="000000"/>
                <w:sz w:val="22"/>
              </w:rPr>
              <w:t xml:space="preserve">HOUSING AUTHORITY OF THE COUNTY OF SALT LAKE</w:t>
            </w:r>
          </w:p>
        </w:tc>
        <w:tc>
          <w:tcPr>
            <w:vAlign w:val="top"/>
          </w:tcPr>
          <w:p>
            <w:pPr>
              <w:spacing w:beforeAutospacing="true" w:afterAutospacing="true"/>
              <w:jc w:val="left"/>
            </w:pPr>
            <w:r>
              <w:rPr>
                <w:rFonts w:ascii="Calibri" w:hAnsi="Calibri"/>
                <w:color w:val="000000"/>
                <w:sz w:val="22"/>
              </w:rPr>
              <w:t xml:space="preserve">PHA</w:t>
            </w:r>
          </w:p>
        </w:tc>
        <w:tc>
          <w:tcPr>
            <w:vAlign w:val="top"/>
          </w:tcPr>
          <w:p>
            <w:pPr>
              <w:spacing w:beforeAutospacing="true" w:afterAutospacing="true"/>
              <w:jc w:val="left"/>
            </w:pPr>
            <w:r>
              <w:rPr>
                <w:rFonts w:ascii="Calibri" w:hAnsi="Calibri"/>
                <w:color w:val="000000"/>
                <w:sz w:val="22"/>
              </w:rPr>
              <w:t xml:space="preserve">Public Housing</w:t>
            </w:r>
          </w:p>
        </w:tc>
        <w:tc>
          <w:tcPr>
            <w:vAlign w:val="top"/>
          </w:tcPr>
          <w:p>
            <w:pPr>
              <w:spacing w:beforeAutospacing="true" w:afterAutospacing="true"/>
              <w:jc w:val="left"/>
            </w:pPr>
            <w:r>
              <w:rPr>
                <w:rFonts w:ascii="Calibri" w:hAnsi="Calibri"/>
                <w:color w:val="000000"/>
                <w:sz w:val="22"/>
              </w:rPr>
              <w:t xml:space="preserve">Jurisdiction</w:t>
            </w:r>
          </w:p>
        </w:tc>
      </w:tr>
      <w:tr>
        <w:trPr>
          <w:cantSplit w:val="true"/>
        </w:trPr>
        <w:tc>
          <w:tcPr>
            <w:vAlign w:val="top"/>
          </w:tcPr>
          <w:p>
            <w:pPr>
              <w:spacing w:beforeAutospacing="true" w:afterAutospacing="true"/>
              <w:jc w:val="left"/>
            </w:pPr>
            <w:r>
              <w:rPr>
                <w:rFonts w:ascii="Calibri" w:hAnsi="Calibri"/>
                <w:color w:val="000000"/>
                <w:sz w:val="22"/>
              </w:rPr>
              <w:t xml:space="preserve">ASSIST INC</w:t>
            </w:r>
          </w:p>
        </w:tc>
        <w:tc>
          <w:tcPr>
            <w:vAlign w:val="top"/>
          </w:tcPr>
          <w:p>
            <w:pPr>
              <w:spacing w:beforeAutospacing="true" w:afterAutospacing="true"/>
              <w:jc w:val="left"/>
            </w:pPr>
            <w:r>
              <w:rPr>
                <w:rFonts w:ascii="Calibri" w:hAnsi="Calibri"/>
                <w:color w:val="000000"/>
                <w:sz w:val="22"/>
              </w:rPr>
              <w:t xml:space="preserve">Non-profit organizations</w:t>
            </w:r>
          </w:p>
        </w:tc>
        <w:tc>
          <w:tcPr>
            <w:vAlign w:val="top"/>
          </w:tcPr>
          <w:p>
            <w:pPr>
              <w:spacing w:beforeAutospacing="true" w:afterAutospacing="true"/>
              <w:jc w:val="left"/>
            </w:pPr>
            <w:r>
              <w:rPr>
                <w:rFonts w:ascii="Calibri" w:hAnsi="Calibri"/>
                <w:color w:val="000000"/>
                <w:sz w:val="22"/>
              </w:rPr>
              <w:t xml:space="preserve">Ownership</w:t>
            </w:r>
          </w:p>
        </w:tc>
        <w:tc>
          <w:tcPr>
            <w:vAlign w:val="top"/>
          </w:tcPr>
          <w:p>
            <w:pPr>
              <w:spacing w:beforeAutospacing="true" w:afterAutospacing="true"/>
              <w:jc w:val="left"/>
            </w:pPr>
            <w:r>
              <w:rPr>
                <w:rFonts w:ascii="Calibri" w:hAnsi="Calibri"/>
                <w:color w:val="000000"/>
                <w:sz w:val="22"/>
              </w:rPr>
              <w:t xml:space="preserve">Region</w:t>
            </w:r>
          </w:p>
        </w:tc>
      </w:tr>
    </w:tbl>
    <w:p>
      <w:pPr>
        <w:pStyle w:val="Caption"/>
        <w:jc w:val="center"/>
        <w:rPr>
          <w:rFonts w:asciiTheme="minorHAnsi" w:hAnsiTheme="minorHAnsi"/>
        </w:rPr>
      </w:pPr>
      <w:r>
        <w:rPr>
          <w:rFonts w:asciiTheme="minorHAnsi" w:hAnsiTheme="minorHAnsi"/>
        </w:rPr>
        <w:t xml:space="preserve">Table </w:t>
        <w:fldChar w:fldCharType="begin"/>
        <w:instrText xml:space="preserve"> SEQ Table \* ARABIC </w:instrText>
        <w:fldChar w:fldCharType="separate"/>
        <w:t>21</w:t>
        <w:fldChar w:fldCharType="end"/>
        <w:t xml:space="preserve"> </w:t>
      </w:r>
      <w:r>
        <w:rPr>
          <w:rFonts w:cs="Arial" w:asciiTheme="minorHAnsi" w:hAnsiTheme="minorHAnsi"/>
        </w:rPr>
        <w:t>- Institutional Delivery Structure</w:t>
      </w:r>
    </w:p>
    <w:p>
      <w:pPr>
        <w:rPr>
          <w:rFonts w:cs="Arial"/>
          <w:b/>
          <w:sz w:val="26"/>
          <w:szCs w:val="26"/>
        </w:rPr>
      </w:pPr>
      <w:r>
        <w:rPr>
          <w:b/>
          <w:sz w:val="24"/>
          <w:szCs w:val="24"/>
        </w:rPr>
        <w:t>Assess of Strengths and Gaps in the Institutional Delivery System</w:t>
      </w:r>
    </w:p>
    <w:p>
      <w:pPr>
        <w:spacing w:beforeAutospacing="true" w:afterAutospacing="true"/>
        <w:rPr>
          <w:rFonts w:cs="Arial"/>
        </w:rPr>
      </w:pPr>
      <w:r>
        <w:rPr>
          <w:rFonts w:cs="Arial"/>
        </w:rPr>
        <w:t xml:space="preserve">Listed above are some of the key agencies involved in delivery services as part of Salt Lake County over all program. All of these agencies have in past have proven to be well managed agencies. The gap in institutional delivery system often relates more to gaps in coordinattion of assistance to particular individuals.</w:t>
      </w:r>
    </w:p>
    <w:p>
      <w:pPr>
        <w:rPr>
          <w:rFonts w:cs="Arial"/>
        </w:rPr>
      </w:pPr>
      <w:r>
        <w:rPr>
          <w:rFonts w:cs="Arial"/>
          <w:b/>
          <w:sz w:val="24"/>
          <w:szCs w:val="24"/>
        </w:rPr>
        <w:t>Availability of services targeted to homeless persons and persons with HIV and mainstream services</w:t>
      </w:r>
    </w:p>
    <w:tbl>
      <w:tblPr>
        <w:tblW w:w="5000" w:type="pct"/>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15" w:type="dxa"/>
          <w:right w:w="115" w:type="dxa"/>
        </w:tblCellMar>
        <w:tblLook w:firstRow="1" w:lastRow="1" w:firstColumn="1" w:lastColumn="1" w:noHBand="0" w:noVBand="0" w:val="01E0"/>
      </w:tblPr>
      <w:tblGrid>
        <w:gridCol w:w="3098"/>
        <w:gridCol w:w="2164"/>
        <w:gridCol w:w="2164"/>
        <w:gridCol w:w="2164"/>
      </w:tblGrid>
      <w:tr>
        <w:trPr>
          <w:cantSplit/>
          <w:tblHeader/>
        </w:trPr>
        <w:tc>
          <w:tcPr>
            <w:tcW w:w="3060" w:type="dxa"/>
          </w:tcPr>
          <w:p>
            <w:pPr>
              <w:keepNext/>
              <w:widowControl w:val="false"/>
              <w:spacing w:after="0" w:line="240" w:lineRule="auto"/>
              <w:jc w:val="center"/>
              <w:rPr>
                <w:rFonts w:cs="Arial"/>
              </w:rPr>
            </w:pPr>
            <w:r>
              <w:rPr>
                <w:b/>
                <w:bCs/>
              </w:rPr>
              <w:t>Homelessness Prevention Services</w:t>
            </w:r>
          </w:p>
        </w:tc>
        <w:tc>
          <w:tcPr>
            <w:tcW w:w="2136" w:type="dxa"/>
          </w:tcPr>
          <w:p>
            <w:pPr>
              <w:keepNext/>
              <w:widowControl w:val="false"/>
              <w:spacing w:after="0" w:line="240" w:lineRule="auto"/>
              <w:jc w:val="center"/>
              <w:rPr>
                <w:rFonts w:cs="Arial"/>
              </w:rPr>
            </w:pPr>
            <w:r>
              <w:rPr>
                <w:b/>
                <w:bCs/>
              </w:rPr>
              <w:t>Available in the Community</w:t>
            </w:r>
          </w:p>
        </w:tc>
        <w:tc>
          <w:tcPr>
            <w:tcW w:w="2136" w:type="dxa"/>
          </w:tcPr>
          <w:p>
            <w:pPr>
              <w:keepNext/>
              <w:widowControl w:val="false"/>
              <w:spacing w:after="0" w:line="240" w:lineRule="auto"/>
              <w:jc w:val="center"/>
              <w:rPr>
                <w:rFonts w:cs="Arial"/>
              </w:rPr>
            </w:pPr>
            <w:r>
              <w:rPr>
                <w:b/>
                <w:bCs/>
              </w:rPr>
              <w:t>Targeted to Homeless</w:t>
            </w:r>
          </w:p>
        </w:tc>
        <w:tc>
          <w:tcPr>
            <w:tcW w:w="2136" w:type="dxa"/>
          </w:tcPr>
          <w:p>
            <w:pPr>
              <w:keepNext/>
              <w:widowControl w:val="false"/>
              <w:spacing w:after="0" w:line="240" w:lineRule="auto"/>
              <w:jc w:val="center"/>
              <w:rPr>
                <w:rFonts w:cs="Arial"/>
              </w:rPr>
            </w:pPr>
            <w:r>
              <w:rPr>
                <w:b/>
                <w:bCs/>
              </w:rPr>
              <w:t>Targeted to People with HIV</w:t>
            </w:r>
          </w:p>
        </w:tc>
      </w:tr>
      <w:tr>
        <w:trPr>
          <w:cantSplit/>
          <w:trHeight w:val="107"/>
          <w:tblHeader/>
        </w:trPr>
        <w:tc>
          <w:tcPr>
            <w:tcW w:w="9468" w:type="dxa"/>
            <w:gridSpan w:val="4"/>
          </w:tcPr>
          <w:p>
            <w:pPr>
              <w:keepNext/>
              <w:widowControl w:val="false"/>
              <w:spacing w:after="0" w:line="240" w:lineRule="auto"/>
              <w:jc w:val="center"/>
              <w:rPr>
                <w:rFonts w:cs="Arial"/>
              </w:rPr>
            </w:pPr>
            <w:r>
              <w:rPr>
                <w:b/>
                <w:bCs/>
              </w:rPr>
              <w:t>Homelessness Prevention Services</w:t>
            </w:r>
          </w:p>
        </w:tc>
      </w:tr>
      <w:tr>
        <w:trPr>
          <w:cantSplit/>
          <w:tblHeader/>
          <w:hidden/>
        </w:trPr>
        <w:tc>
          <w:tcPr>
            <w:tcW w:w="3060" w:type="dxa"/>
          </w:tcPr>
          <w:p>
            <w:pPr>
              <w:keepNext/>
              <w:widowControl w:val="false"/>
              <w:spacing w:after="0" w:line="240" w:lineRule="auto"/>
              <w:jc w:val="center"/>
              <w:rPr>
                <w:rFonts w:cs="Arial"/>
                <w:vanish/>
                <w:sz w:val="4"/>
                <w:szCs w:val="4"/>
              </w:rPr>
            </w:pPr>
          </w:p>
        </w:tc>
        <w:tc>
          <w:tcPr>
            <w:tcW w:w="2136" w:type="dxa"/>
          </w:tcPr>
          <w:p>
            <w:pPr>
              <w:keepNext/>
              <w:widowControl w:val="false"/>
              <w:spacing w:after="0" w:line="240" w:lineRule="auto"/>
              <w:jc w:val="center"/>
              <w:rPr>
                <w:rFonts w:cs="Arial"/>
                <w:vanish/>
                <w:sz w:val="4"/>
                <w:szCs w:val="4"/>
              </w:rPr>
            </w:pPr>
          </w:p>
        </w:tc>
        <w:tc>
          <w:tcPr>
            <w:tcW w:w="2136" w:type="dxa"/>
          </w:tcPr>
          <w:p>
            <w:pPr>
              <w:keepNext/>
              <w:widowControl w:val="false"/>
              <w:spacing w:after="0" w:line="240" w:lineRule="auto"/>
              <w:jc w:val="center"/>
              <w:rPr>
                <w:rFonts w:cs="Arial"/>
                <w:vanish/>
                <w:sz w:val="4"/>
                <w:szCs w:val="4"/>
              </w:rPr>
            </w:pPr>
          </w:p>
        </w:tc>
        <w:tc>
          <w:tcPr>
            <w:tcW w:w="2136" w:type="dxa"/>
          </w:tcPr>
          <w:p>
            <w:pPr>
              <w:keepNext/>
              <w:widowControl w:val="false"/>
              <w:spacing w:after="0" w:line="240" w:lineRule="auto"/>
              <w:jc w:val="center"/>
              <w:rPr>
                <w:rFonts w:cs="Arial"/>
                <w:vanish/>
                <w:sz w:val="4"/>
                <w:szCs w:val="4"/>
              </w:rPr>
            </w:pPr>
          </w:p>
        </w:tc>
      </w:tr>
      <w:tr>
        <w:trPr>
          <w:cantSplit w:val="true"/>
        </w:trPr>
        <w:tc>
          <w:tcPr>
            <w:tcBorders>
              <w:top w:val="nil"/>
            </w:tcBorders>
            <w:vAlign w:val="top"/>
          </w:tcPr>
          <w:p>
            <w:pPr>
              <w:spacing w:beforeAutospacing="true" w:afterAutospacing="true"/>
              <w:jc w:val="left"/>
            </w:pPr>
            <w:r>
              <w:rPr>
                <w:rFonts w:ascii="Calibri" w:hAnsi="Calibri"/>
                <w:color w:val="000000"/>
                <w:sz w:val="22"/>
              </w:rPr>
              <w:t xml:space="preserve">Counseling/Advocacy</w:t>
            </w:r>
          </w:p>
        </w:tc>
        <w:tc>
          <w:tcPr>
            <w:tcBorders>
              <w:top w:val="nil"/>
            </w:tcBorders>
            <w:vAlign w:val="bottom"/>
          </w:tcPr>
          <w:p>
            <w:pPr>
              <w:spacing w:beforeAutospacing="true" w:afterAutospacing="true"/>
              <w:jc w:val="center"/>
            </w:pPr>
            <w:r>
              <w:rPr>
                <w:rFonts w:ascii="Calibri" w:hAnsi="Calibri"/>
                <w:color w:val="000000"/>
                <w:sz w:val="22"/>
              </w:rPr>
              <w:t xml:space="preserve">X</w:t>
            </w:r>
          </w:p>
        </w:tc>
        <w:tc>
          <w:tcPr>
            <w:tcBorders>
              <w:top w:val="nil"/>
            </w:tcBorders>
            <w:vAlign w:val="bottom"/>
          </w:tcPr>
          <w:p>
            <w:pPr>
              <w:spacing w:beforeAutospacing="true" w:afterAutospacing="true"/>
              <w:jc w:val="center"/>
            </w:pPr>
            <w:r>
              <w:rPr>
                <w:rFonts w:ascii="Calibri" w:hAnsi="Calibri"/>
                <w:color w:val="000000"/>
                <w:sz w:val="22"/>
              </w:rPr>
              <w:t xml:space="preserve">X</w:t>
            </w:r>
          </w:p>
        </w:tc>
        <w:tc>
          <w:tcPr>
            <w:tcBorders>
              <w:top w:val="nil"/>
            </w:tcBorders>
            <w:vAlign w:val="bottom"/>
          </w:tcPr>
          <w:p>
            <w:pPr>
              <w:spacing w:beforeAutospacing="true" w:afterAutospacing="true"/>
              <w:jc w:val="center"/>
            </w:pPr>
            <w:r>
              <w:rPr>
                <w:rFonts w:ascii="Calibri" w:hAnsi="Calibri"/>
                <w:color w:val="000000"/>
                <w:sz w:val="22"/>
              </w:rPr>
              <w:t xml:space="preserve"> </w:t>
            </w:r>
          </w:p>
        </w:tc>
      </w:tr>
      <w:tr>
        <w:trPr>
          <w:cantSplit w:val="true"/>
        </w:trPr>
        <w:tc>
          <w:tcPr>
            <w:tcBorders>
              <w:top w:val="nil"/>
            </w:tcBorders>
            <w:vAlign w:val="top"/>
          </w:tcPr>
          <w:p>
            <w:pPr>
              <w:spacing w:beforeAutospacing="true" w:afterAutospacing="true"/>
              <w:jc w:val="left"/>
            </w:pPr>
            <w:r>
              <w:rPr>
                <w:rFonts w:ascii="Calibri" w:hAnsi="Calibri"/>
                <w:color w:val="000000"/>
                <w:sz w:val="22"/>
              </w:rPr>
              <w:t xml:space="preserve">Legal Assistance</w:t>
            </w:r>
          </w:p>
        </w:tc>
        <w:tc>
          <w:tcPr>
            <w:tcBorders>
              <w:top w:val="nil"/>
            </w:tcBorders>
            <w:vAlign w:val="bottom"/>
          </w:tcPr>
          <w:p>
            <w:pPr>
              <w:spacing w:beforeAutospacing="true" w:afterAutospacing="true"/>
              <w:jc w:val="center"/>
            </w:pPr>
            <w:r>
              <w:rPr>
                <w:rFonts w:ascii="Calibri" w:hAnsi="Calibri"/>
                <w:color w:val="000000"/>
                <w:sz w:val="22"/>
              </w:rPr>
              <w:t xml:space="preserve">X</w:t>
            </w:r>
          </w:p>
        </w:tc>
        <w:tc>
          <w:tcPr>
            <w:tcBorders>
              <w:top w:val="nil"/>
            </w:tcBorders>
            <w:vAlign w:val="bottom"/>
          </w:tcPr>
          <w:p>
            <w:pPr>
              <w:spacing w:beforeAutospacing="true" w:afterAutospacing="true"/>
              <w:jc w:val="center"/>
            </w:pPr>
            <w:r>
              <w:rPr>
                <w:rFonts w:ascii="Calibri" w:hAnsi="Calibri"/>
                <w:color w:val="000000"/>
                <w:sz w:val="22"/>
              </w:rPr>
              <w:t xml:space="preserve"> </w:t>
            </w:r>
          </w:p>
        </w:tc>
        <w:tc>
          <w:tcPr>
            <w:tcBorders>
              <w:top w:val="nil"/>
            </w:tcBorders>
            <w:vAlign w:val="bottom"/>
          </w:tcPr>
          <w:p>
            <w:pPr>
              <w:spacing w:beforeAutospacing="true" w:afterAutospacing="true"/>
              <w:jc w:val="center"/>
            </w:pPr>
            <w:r>
              <w:rPr>
                <w:rFonts w:ascii="Calibri" w:hAnsi="Calibri"/>
                <w:color w:val="000000"/>
                <w:sz w:val="22"/>
              </w:rPr>
              <w:t xml:space="preserve"> </w:t>
            </w:r>
          </w:p>
        </w:tc>
      </w:tr>
      <w:tr>
        <w:trPr>
          <w:cantSplit w:val="true"/>
        </w:trPr>
        <w:tc>
          <w:tcPr>
            <w:tcBorders>
              <w:top w:val="nil"/>
            </w:tcBorders>
            <w:vAlign w:val="top"/>
          </w:tcPr>
          <w:p>
            <w:pPr>
              <w:spacing w:beforeAutospacing="true" w:afterAutospacing="true"/>
              <w:jc w:val="left"/>
            </w:pPr>
            <w:r>
              <w:rPr>
                <w:rFonts w:ascii="Calibri" w:hAnsi="Calibri"/>
                <w:color w:val="000000"/>
                <w:sz w:val="22"/>
              </w:rPr>
              <w:t xml:space="preserve">Mortgage Assistance</w:t>
            </w:r>
          </w:p>
        </w:tc>
        <w:tc>
          <w:tcPr>
            <w:tcBorders>
              <w:top w:val="nil"/>
            </w:tcBorders>
            <w:vAlign w:val="bottom"/>
          </w:tcPr>
          <w:p>
            <w:pPr>
              <w:spacing w:beforeAutospacing="true" w:afterAutospacing="true"/>
              <w:jc w:val="center"/>
            </w:pPr>
            <w:r>
              <w:rPr>
                <w:rFonts w:ascii="Calibri" w:hAnsi="Calibri"/>
                <w:color w:val="000000"/>
                <w:sz w:val="22"/>
              </w:rPr>
              <w:t xml:space="preserve">X</w:t>
            </w:r>
          </w:p>
        </w:tc>
        <w:tc>
          <w:tcPr>
            <w:tcBorders>
              <w:top w:val="nil"/>
            </w:tcBorders>
            <w:vAlign w:val="bottom"/>
          </w:tcPr>
          <w:p>
            <w:pPr>
              <w:spacing w:beforeAutospacing="true" w:afterAutospacing="true"/>
              <w:jc w:val="center"/>
            </w:pPr>
            <w:r>
              <w:rPr>
                <w:rFonts w:ascii="Calibri" w:hAnsi="Calibri"/>
                <w:color w:val="000000"/>
                <w:sz w:val="22"/>
              </w:rPr>
              <w:t xml:space="preserve"> </w:t>
            </w:r>
          </w:p>
        </w:tc>
        <w:tc>
          <w:tcPr>
            <w:tcBorders>
              <w:top w:val="nil"/>
            </w:tcBorders>
            <w:vAlign w:val="bottom"/>
          </w:tcPr>
          <w:p>
            <w:pPr>
              <w:spacing w:beforeAutospacing="true" w:afterAutospacing="true"/>
              <w:jc w:val="center"/>
            </w:pPr>
            <w:r>
              <w:rPr>
                <w:rFonts w:ascii="Calibri" w:hAnsi="Calibri"/>
                <w:color w:val="000000"/>
                <w:sz w:val="22"/>
              </w:rPr>
              <w:t xml:space="preserve"> </w:t>
            </w:r>
          </w:p>
        </w:tc>
      </w:tr>
      <w:tr>
        <w:trPr>
          <w:cantSplit w:val="true"/>
        </w:trPr>
        <w:tc>
          <w:tcPr>
            <w:tcBorders>
              <w:top w:val="nil"/>
            </w:tcBorders>
            <w:vAlign w:val="top"/>
          </w:tcPr>
          <w:p>
            <w:pPr>
              <w:spacing w:beforeAutospacing="true" w:afterAutospacing="true"/>
              <w:jc w:val="left"/>
            </w:pPr>
            <w:r>
              <w:rPr>
                <w:rFonts w:ascii="Calibri" w:hAnsi="Calibri"/>
                <w:color w:val="000000"/>
                <w:sz w:val="22"/>
              </w:rPr>
              <w:t xml:space="preserve">Rental Assistance</w:t>
            </w:r>
          </w:p>
        </w:tc>
        <w:tc>
          <w:tcPr>
            <w:tcBorders>
              <w:top w:val="nil"/>
            </w:tcBorders>
            <w:vAlign w:val="bottom"/>
          </w:tcPr>
          <w:p>
            <w:pPr>
              <w:spacing w:beforeAutospacing="true" w:afterAutospacing="true"/>
              <w:jc w:val="center"/>
            </w:pPr>
            <w:r>
              <w:rPr>
                <w:rFonts w:ascii="Calibri" w:hAnsi="Calibri"/>
                <w:color w:val="000000"/>
                <w:sz w:val="22"/>
              </w:rPr>
              <w:t xml:space="preserve">X</w:t>
            </w:r>
          </w:p>
        </w:tc>
        <w:tc>
          <w:tcPr>
            <w:tcBorders>
              <w:top w:val="nil"/>
            </w:tcBorders>
            <w:vAlign w:val="bottom"/>
          </w:tcPr>
          <w:p>
            <w:pPr>
              <w:spacing w:beforeAutospacing="true" w:afterAutospacing="true"/>
              <w:jc w:val="center"/>
            </w:pPr>
            <w:r>
              <w:rPr>
                <w:rFonts w:ascii="Calibri" w:hAnsi="Calibri"/>
                <w:color w:val="000000"/>
                <w:sz w:val="22"/>
              </w:rPr>
              <w:t xml:space="preserve"> </w:t>
            </w:r>
          </w:p>
        </w:tc>
        <w:tc>
          <w:tcPr>
            <w:tcBorders>
              <w:top w:val="nil"/>
            </w:tcBorders>
            <w:vAlign w:val="bottom"/>
          </w:tcPr>
          <w:p>
            <w:pPr>
              <w:spacing w:beforeAutospacing="true" w:afterAutospacing="true"/>
              <w:jc w:val="center"/>
            </w:pPr>
            <w:r>
              <w:rPr>
                <w:rFonts w:ascii="Calibri" w:hAnsi="Calibri"/>
                <w:color w:val="000000"/>
                <w:sz w:val="22"/>
              </w:rPr>
              <w:t xml:space="preserve"> </w:t>
            </w:r>
          </w:p>
        </w:tc>
      </w:tr>
      <w:tr>
        <w:trPr>
          <w:cantSplit w:val="true"/>
        </w:trPr>
        <w:tc>
          <w:tcPr>
            <w:tcBorders>
              <w:top w:val="nil"/>
            </w:tcBorders>
            <w:vAlign w:val="top"/>
          </w:tcPr>
          <w:p>
            <w:pPr>
              <w:spacing w:beforeAutospacing="true" w:afterAutospacing="true"/>
              <w:jc w:val="left"/>
            </w:pPr>
            <w:r>
              <w:rPr>
                <w:rFonts w:ascii="Calibri" w:hAnsi="Calibri"/>
                <w:color w:val="000000"/>
                <w:sz w:val="22"/>
              </w:rPr>
              <w:t xml:space="preserve">Utilities Assistance</w:t>
            </w:r>
          </w:p>
        </w:tc>
        <w:tc>
          <w:tcPr>
            <w:tcBorders>
              <w:top w:val="nil"/>
            </w:tcBorders>
            <w:vAlign w:val="bottom"/>
          </w:tcPr>
          <w:p>
            <w:pPr>
              <w:spacing w:beforeAutospacing="true" w:afterAutospacing="true"/>
              <w:jc w:val="center"/>
            </w:pPr>
            <w:r>
              <w:rPr>
                <w:rFonts w:ascii="Calibri" w:hAnsi="Calibri"/>
                <w:color w:val="000000"/>
                <w:sz w:val="22"/>
              </w:rPr>
              <w:t xml:space="preserve">X</w:t>
            </w:r>
          </w:p>
        </w:tc>
        <w:tc>
          <w:tcPr>
            <w:tcBorders>
              <w:top w:val="nil"/>
            </w:tcBorders>
            <w:vAlign w:val="bottom"/>
          </w:tcPr>
          <w:p>
            <w:pPr>
              <w:spacing w:beforeAutospacing="true" w:afterAutospacing="true"/>
              <w:jc w:val="center"/>
            </w:pPr>
            <w:r>
              <w:rPr>
                <w:rFonts w:ascii="Calibri" w:hAnsi="Calibri"/>
                <w:color w:val="000000"/>
                <w:sz w:val="22"/>
              </w:rPr>
              <w:t xml:space="preserve"> </w:t>
            </w:r>
          </w:p>
        </w:tc>
        <w:tc>
          <w:tcPr>
            <w:tcBorders>
              <w:top w:val="nil"/>
            </w:tcBorders>
            <w:vAlign w:val="bottom"/>
          </w:tcPr>
          <w:p>
            <w:pPr>
              <w:spacing w:beforeAutospacing="true" w:afterAutospacing="true"/>
              <w:jc w:val="center"/>
            </w:pPr>
            <w:r>
              <w:rPr>
                <w:rFonts w:ascii="Calibri" w:hAnsi="Calibri"/>
                <w:color w:val="000000"/>
                <w:sz w:val="22"/>
              </w:rPr>
              <w:t xml:space="preserve"> </w:t>
            </w:r>
          </w:p>
        </w:tc>
      </w:tr>
    </w:tbl>
    <w:p>
      <w:pPr>
        <w:spacing w:after="0" w:line="14" w:lineRule="exact"/>
        <w:rPr>
          <w:rFonts w:cs="Arial"/>
          <w:vanish/>
        </w:rPr>
      </w:pPr>
    </w:p>
    <w:tbl>
      <w:tblPr>
        <w:tblW w:w="5000" w:type="pct"/>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15" w:type="dxa"/>
          <w:right w:w="115" w:type="dxa"/>
        </w:tblCellMar>
        <w:tblLook w:firstRow="1" w:lastRow="1" w:firstColumn="1" w:lastColumn="1" w:noHBand="0" w:noVBand="0" w:val="01E0"/>
      </w:tblPr>
      <w:tblGrid>
        <w:gridCol w:w="3098"/>
        <w:gridCol w:w="2164"/>
        <w:gridCol w:w="2164"/>
        <w:gridCol w:w="2164"/>
      </w:tblGrid>
      <w:tr>
        <w:trPr>
          <w:cantSplit/>
          <w:trHeight w:val="107"/>
          <w:tblHeader/>
        </w:trPr>
        <w:tc>
          <w:tcPr>
            <w:tcW w:w="9468" w:type="dxa"/>
            <w:gridSpan w:val="4"/>
          </w:tcPr>
          <w:p>
            <w:pPr>
              <w:keepNext/>
              <w:widowControl w:val="false"/>
              <w:spacing w:after="0" w:line="240" w:lineRule="auto"/>
              <w:jc w:val="center"/>
              <w:rPr>
                <w:rFonts w:cs="Arial"/>
              </w:rPr>
            </w:pPr>
            <w:r>
              <w:rPr>
                <w:b/>
                <w:bCs/>
              </w:rPr>
              <w:t>Street Outreach Services</w:t>
            </w:r>
          </w:p>
        </w:tc>
      </w:tr>
      <w:tr>
        <w:trPr>
          <w:cantSplit w:val="true"/>
        </w:trPr>
        <w:tc>
          <w:tcPr>
            <w:tcBorders>
              <w:top w:val="nil"/>
            </w:tcBorders>
            <w:vAlign w:val="top"/>
          </w:tcPr>
          <w:p>
            <w:pPr>
              <w:spacing w:beforeAutospacing="true" w:afterAutospacing="true"/>
              <w:jc w:val="left"/>
            </w:pPr>
            <w:r>
              <w:rPr>
                <w:rFonts w:ascii="Calibri" w:hAnsi="Calibri"/>
                <w:color w:val="000000"/>
                <w:sz w:val="22"/>
              </w:rPr>
              <w:t xml:space="preserve">Law Enforcement</w:t>
            </w:r>
          </w:p>
        </w:tc>
        <w:tc>
          <w:tcPr>
            <w:tcBorders>
              <w:top w:val="nil"/>
            </w:tcBorders>
            <w:vAlign w:val="bottom"/>
          </w:tcPr>
          <w:p>
            <w:pPr>
              <w:spacing w:beforeAutospacing="true" w:afterAutospacing="true"/>
              <w:jc w:val="center"/>
            </w:pPr>
            <w:r>
              <w:rPr>
                <w:rFonts w:ascii="Calibri" w:hAnsi="Calibri"/>
                <w:color w:val="000000"/>
                <w:sz w:val="22"/>
              </w:rPr>
              <w:t xml:space="preserve">X</w:t>
            </w:r>
          </w:p>
        </w:tc>
        <w:tc>
          <w:tcPr>
            <w:tcBorders>
              <w:top w:val="nil"/>
            </w:tcBorders>
            <w:vAlign w:val="bottom"/>
          </w:tcPr>
          <w:p>
            <w:pPr>
              <w:spacing w:beforeAutospacing="true" w:afterAutospacing="true"/>
              <w:jc w:val="center"/>
            </w:pPr>
            <w:r>
              <w:rPr>
                <w:rFonts w:ascii="Calibri" w:hAnsi="Calibri"/>
                <w:color w:val="000000"/>
                <w:sz w:val="22"/>
              </w:rPr>
              <w:t xml:space="preserve"> </w:t>
            </w:r>
          </w:p>
        </w:tc>
        <w:tc>
          <w:tcPr>
            <w:tcBorders>
              <w:top w:val="nil"/>
            </w:tcBorders>
            <w:vAlign w:val="bottom"/>
          </w:tcPr>
          <w:p>
            <w:pPr>
              <w:spacing w:beforeAutospacing="true" w:afterAutospacing="true"/>
              <w:jc w:val="center"/>
            </w:pPr>
            <w:r>
              <w:rPr>
                <w:rFonts w:ascii="Calibri" w:hAnsi="Calibri"/>
                <w:color w:val="000000"/>
                <w:sz w:val="22"/>
              </w:rPr>
              <w:t xml:space="preserve">   </w:t>
            </w:r>
          </w:p>
        </w:tc>
      </w:tr>
      <w:tr>
        <w:trPr>
          <w:cantSplit w:val="true"/>
        </w:trPr>
        <w:tc>
          <w:tcPr>
            <w:tcBorders>
              <w:top w:val="nil"/>
            </w:tcBorders>
            <w:vAlign w:val="top"/>
          </w:tcPr>
          <w:p>
            <w:pPr>
              <w:spacing w:beforeAutospacing="true" w:afterAutospacing="true"/>
              <w:jc w:val="left"/>
            </w:pPr>
            <w:r>
              <w:rPr>
                <w:rFonts w:ascii="Calibri" w:hAnsi="Calibri"/>
                <w:color w:val="000000"/>
                <w:sz w:val="22"/>
              </w:rPr>
              <w:t xml:space="preserve">Mobile Clinics</w:t>
            </w:r>
          </w:p>
        </w:tc>
        <w:tc>
          <w:tcPr>
            <w:tcBorders>
              <w:top w:val="nil"/>
            </w:tcBorders>
            <w:vAlign w:val="bottom"/>
          </w:tcPr>
          <w:p>
            <w:pPr>
              <w:spacing w:beforeAutospacing="true" w:afterAutospacing="true"/>
              <w:jc w:val="center"/>
            </w:pPr>
            <w:r>
              <w:rPr>
                <w:rFonts w:ascii="Calibri" w:hAnsi="Calibri"/>
                <w:color w:val="000000"/>
                <w:sz w:val="22"/>
              </w:rPr>
              <w:t xml:space="preserve">X</w:t>
            </w:r>
          </w:p>
        </w:tc>
        <w:tc>
          <w:tcPr>
            <w:tcBorders>
              <w:top w:val="nil"/>
            </w:tcBorders>
            <w:vAlign w:val="bottom"/>
          </w:tcPr>
          <w:p>
            <w:pPr>
              <w:spacing w:beforeAutospacing="true" w:afterAutospacing="true"/>
              <w:jc w:val="center"/>
            </w:pPr>
            <w:r>
              <w:rPr>
                <w:rFonts w:ascii="Calibri" w:hAnsi="Calibri"/>
                <w:color w:val="000000"/>
                <w:sz w:val="22"/>
              </w:rPr>
              <w:t xml:space="preserve"> </w:t>
            </w:r>
          </w:p>
        </w:tc>
        <w:tc>
          <w:tcPr>
            <w:tcBorders>
              <w:top w:val="nil"/>
            </w:tcBorders>
            <w:vAlign w:val="bottom"/>
          </w:tcPr>
          <w:p>
            <w:pPr>
              <w:spacing w:beforeAutospacing="true" w:afterAutospacing="true"/>
              <w:jc w:val="center"/>
            </w:pPr>
            <w:r>
              <w:rPr>
                <w:rFonts w:ascii="Calibri" w:hAnsi="Calibri"/>
                <w:color w:val="000000"/>
                <w:sz w:val="22"/>
              </w:rPr>
              <w:t xml:space="preserve">   </w:t>
            </w:r>
          </w:p>
        </w:tc>
      </w:tr>
      <w:tr>
        <w:trPr>
          <w:cantSplit w:val="true"/>
        </w:trPr>
        <w:tc>
          <w:tcPr>
            <w:tcBorders>
              <w:top w:val="nil"/>
            </w:tcBorders>
            <w:vAlign w:val="top"/>
          </w:tcPr>
          <w:p>
            <w:pPr>
              <w:spacing w:beforeAutospacing="true" w:afterAutospacing="true"/>
              <w:jc w:val="left"/>
            </w:pPr>
            <w:r>
              <w:rPr>
                <w:rFonts w:ascii="Calibri" w:hAnsi="Calibri"/>
                <w:color w:val="000000"/>
                <w:sz w:val="22"/>
              </w:rPr>
              <w:t xml:space="preserve">Other Street Outreach Services</w:t>
            </w:r>
          </w:p>
        </w:tc>
        <w:tc>
          <w:tcPr>
            <w:tcBorders>
              <w:top w:val="nil"/>
            </w:tcBorders>
            <w:vAlign w:val="bottom"/>
          </w:tcPr>
          <w:p>
            <w:pPr>
              <w:spacing w:beforeAutospacing="true" w:afterAutospacing="true"/>
              <w:jc w:val="center"/>
            </w:pPr>
            <w:r>
              <w:rPr>
                <w:rFonts w:ascii="Calibri" w:hAnsi="Calibri"/>
                <w:color w:val="000000"/>
                <w:sz w:val="22"/>
              </w:rPr>
              <w:t xml:space="preserve">X</w:t>
            </w:r>
          </w:p>
        </w:tc>
        <w:tc>
          <w:tcPr>
            <w:tcBorders>
              <w:top w:val="nil"/>
            </w:tcBorders>
            <w:vAlign w:val="bottom"/>
          </w:tcPr>
          <w:p>
            <w:pPr>
              <w:spacing w:beforeAutospacing="true" w:afterAutospacing="true"/>
              <w:jc w:val="center"/>
            </w:pPr>
            <w:r>
              <w:rPr>
                <w:rFonts w:ascii="Calibri" w:hAnsi="Calibri"/>
                <w:color w:val="000000"/>
                <w:sz w:val="22"/>
              </w:rPr>
              <w:t xml:space="preserve"> </w:t>
            </w:r>
          </w:p>
        </w:tc>
        <w:tc>
          <w:tcPr>
            <w:tcBorders>
              <w:top w:val="nil"/>
            </w:tcBorders>
            <w:vAlign w:val="bottom"/>
          </w:tcPr>
          <w:p>
            <w:pPr>
              <w:spacing w:beforeAutospacing="true" w:afterAutospacing="true"/>
              <w:jc w:val="center"/>
            </w:pPr>
            <w:r>
              <w:rPr>
                <w:rFonts w:ascii="Calibri" w:hAnsi="Calibri"/>
                <w:color w:val="000000"/>
                <w:sz w:val="22"/>
              </w:rPr>
              <w:t xml:space="preserve">   </w:t>
            </w:r>
          </w:p>
        </w:tc>
      </w:tr>
    </w:tbl>
    <w:p>
      <w:pPr>
        <w:rPr>
          <w:rFonts w:cs="Arial"/>
          <w:vanish/>
        </w:rPr>
      </w:pPr>
    </w:p>
    <w:tbl>
      <w:tblPr>
        <w:tblW w:w="5000" w:type="pct"/>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15" w:type="dxa"/>
          <w:right w:w="115" w:type="dxa"/>
        </w:tblCellMar>
        <w:tblLook w:firstRow="1" w:lastRow="1" w:firstColumn="1" w:lastColumn="1" w:noHBand="0" w:noVBand="0" w:val="01E0"/>
      </w:tblPr>
      <w:tblGrid>
        <w:gridCol w:w="3098"/>
        <w:gridCol w:w="2164"/>
        <w:gridCol w:w="2164"/>
        <w:gridCol w:w="2164"/>
      </w:tblGrid>
      <w:tr>
        <w:trPr>
          <w:cantSplit/>
          <w:trHeight w:val="107"/>
          <w:tblHeader/>
        </w:trPr>
        <w:tc>
          <w:tcPr>
            <w:tcW w:w="9468" w:type="dxa"/>
            <w:gridSpan w:val="4"/>
          </w:tcPr>
          <w:p>
            <w:pPr>
              <w:keepNext/>
              <w:widowControl w:val="false"/>
              <w:spacing w:after="0" w:line="240" w:lineRule="auto"/>
              <w:jc w:val="center"/>
              <w:rPr>
                <w:rFonts w:cs="Arial"/>
              </w:rPr>
            </w:pPr>
            <w:r>
              <w:rPr>
                <w:b/>
                <w:bCs/>
              </w:rPr>
              <w:t>Supportive Services</w:t>
            </w:r>
          </w:p>
        </w:tc>
      </w:tr>
      <w:tr>
        <w:trPr>
          <w:cantSplit w:val="true"/>
        </w:trPr>
        <w:tc>
          <w:tcPr>
            <w:tcBorders>
              <w:top w:val="nil"/>
            </w:tcBorders>
            <w:vAlign w:val="top"/>
          </w:tcPr>
          <w:p>
            <w:pPr>
              <w:spacing w:beforeAutospacing="true" w:afterAutospacing="true"/>
              <w:jc w:val="left"/>
            </w:pPr>
            <w:r>
              <w:rPr>
                <w:rFonts w:ascii="Calibri" w:hAnsi="Calibri"/>
                <w:color w:val="000000"/>
                <w:sz w:val="22"/>
              </w:rPr>
              <w:t xml:space="preserve">Alcohol &amp; Drug Abuse</w:t>
            </w:r>
          </w:p>
        </w:tc>
        <w:tc>
          <w:tcPr>
            <w:tcBorders>
              <w:top w:val="nil"/>
            </w:tcBorders>
            <w:vAlign w:val="bottom"/>
          </w:tcPr>
          <w:p>
            <w:pPr>
              <w:spacing w:beforeAutospacing="true" w:afterAutospacing="true"/>
              <w:jc w:val="center"/>
            </w:pPr>
            <w:r>
              <w:rPr>
                <w:rFonts w:ascii="Calibri" w:hAnsi="Calibri"/>
                <w:color w:val="000000"/>
                <w:sz w:val="22"/>
              </w:rPr>
              <w:t xml:space="preserve">X</w:t>
            </w:r>
          </w:p>
        </w:tc>
        <w:tc>
          <w:tcPr>
            <w:tcBorders>
              <w:top w:val="nil"/>
            </w:tcBorders>
            <w:vAlign w:val="bottom"/>
          </w:tcPr>
          <w:p>
            <w:pPr>
              <w:spacing w:beforeAutospacing="true" w:afterAutospacing="true"/>
              <w:jc w:val="center"/>
            </w:pPr>
            <w:r>
              <w:rPr>
                <w:rFonts w:ascii="Calibri" w:hAnsi="Calibri"/>
                <w:color w:val="000000"/>
                <w:sz w:val="22"/>
              </w:rPr>
              <w:t xml:space="preserve">  </w:t>
            </w:r>
          </w:p>
        </w:tc>
        <w:tc>
          <w:tcPr>
            <w:tcBorders>
              <w:top w:val="nil"/>
            </w:tcBorders>
            <w:vAlign w:val="bottom"/>
          </w:tcPr>
          <w:p>
            <w:pPr>
              <w:spacing w:beforeAutospacing="true" w:afterAutospacing="true"/>
              <w:jc w:val="center"/>
            </w:pPr>
            <w:r>
              <w:rPr>
                <w:rFonts w:ascii="Calibri" w:hAnsi="Calibri"/>
                <w:color w:val="000000"/>
                <w:sz w:val="22"/>
              </w:rPr>
              <w:t xml:space="preserve">  </w:t>
            </w:r>
          </w:p>
        </w:tc>
      </w:tr>
      <w:tr>
        <w:trPr>
          <w:cantSplit w:val="true"/>
        </w:trPr>
        <w:tc>
          <w:tcPr>
            <w:tcBorders>
              <w:top w:val="nil"/>
            </w:tcBorders>
            <w:vAlign w:val="top"/>
          </w:tcPr>
          <w:p>
            <w:pPr>
              <w:spacing w:beforeAutospacing="true" w:afterAutospacing="true"/>
              <w:jc w:val="left"/>
            </w:pPr>
            <w:r>
              <w:rPr>
                <w:rFonts w:ascii="Calibri" w:hAnsi="Calibri"/>
                <w:color w:val="000000"/>
                <w:sz w:val="22"/>
              </w:rPr>
              <w:t xml:space="preserve">Child Care</w:t>
            </w:r>
          </w:p>
        </w:tc>
        <w:tc>
          <w:tcPr>
            <w:tcBorders>
              <w:top w:val="nil"/>
            </w:tcBorders>
            <w:vAlign w:val="bottom"/>
          </w:tcPr>
          <w:p>
            <w:pPr>
              <w:spacing w:beforeAutospacing="true" w:afterAutospacing="true"/>
              <w:jc w:val="center"/>
            </w:pPr>
            <w:r>
              <w:rPr>
                <w:rFonts w:ascii="Calibri" w:hAnsi="Calibri"/>
                <w:color w:val="000000"/>
                <w:sz w:val="22"/>
              </w:rPr>
              <w:t xml:space="preserve">X</w:t>
            </w:r>
          </w:p>
        </w:tc>
        <w:tc>
          <w:tcPr>
            <w:tcBorders>
              <w:top w:val="nil"/>
            </w:tcBorders>
            <w:vAlign w:val="bottom"/>
          </w:tcPr>
          <w:p>
            <w:pPr>
              <w:spacing w:beforeAutospacing="true" w:afterAutospacing="true"/>
              <w:jc w:val="center"/>
            </w:pPr>
            <w:r>
              <w:rPr>
                <w:rFonts w:ascii="Calibri" w:hAnsi="Calibri"/>
                <w:color w:val="000000"/>
                <w:sz w:val="22"/>
              </w:rPr>
              <w:t xml:space="preserve">  </w:t>
            </w:r>
          </w:p>
        </w:tc>
        <w:tc>
          <w:tcPr>
            <w:tcBorders>
              <w:top w:val="nil"/>
            </w:tcBorders>
            <w:vAlign w:val="bottom"/>
          </w:tcPr>
          <w:p>
            <w:pPr>
              <w:spacing w:beforeAutospacing="true" w:afterAutospacing="true"/>
              <w:jc w:val="center"/>
            </w:pPr>
            <w:r>
              <w:rPr>
                <w:rFonts w:ascii="Calibri" w:hAnsi="Calibri"/>
                <w:color w:val="000000"/>
                <w:sz w:val="22"/>
              </w:rPr>
              <w:t xml:space="preserve">  </w:t>
            </w:r>
          </w:p>
        </w:tc>
      </w:tr>
      <w:tr>
        <w:trPr>
          <w:cantSplit w:val="true"/>
        </w:trPr>
        <w:tc>
          <w:tcPr>
            <w:tcBorders>
              <w:top w:val="nil"/>
            </w:tcBorders>
            <w:vAlign w:val="top"/>
          </w:tcPr>
          <w:p>
            <w:pPr>
              <w:spacing w:beforeAutospacing="true" w:afterAutospacing="true"/>
              <w:jc w:val="left"/>
            </w:pPr>
            <w:r>
              <w:rPr>
                <w:rFonts w:ascii="Calibri" w:hAnsi="Calibri"/>
                <w:color w:val="000000"/>
                <w:sz w:val="22"/>
              </w:rPr>
              <w:t xml:space="preserve">Education</w:t>
            </w:r>
          </w:p>
        </w:tc>
        <w:tc>
          <w:tcPr>
            <w:tcBorders>
              <w:top w:val="nil"/>
            </w:tcBorders>
            <w:vAlign w:val="bottom"/>
          </w:tcPr>
          <w:p>
            <w:pPr>
              <w:spacing w:beforeAutospacing="true" w:afterAutospacing="true"/>
              <w:jc w:val="center"/>
            </w:pPr>
            <w:r>
              <w:rPr>
                <w:rFonts w:ascii="Calibri" w:hAnsi="Calibri"/>
                <w:color w:val="000000"/>
                <w:sz w:val="22"/>
              </w:rPr>
              <w:t xml:space="preserve">X</w:t>
            </w:r>
          </w:p>
        </w:tc>
        <w:tc>
          <w:tcPr>
            <w:tcBorders>
              <w:top w:val="nil"/>
            </w:tcBorders>
            <w:vAlign w:val="bottom"/>
          </w:tcPr>
          <w:p>
            <w:pPr>
              <w:spacing w:beforeAutospacing="true" w:afterAutospacing="true"/>
              <w:jc w:val="center"/>
            </w:pPr>
            <w:r>
              <w:rPr>
                <w:rFonts w:ascii="Calibri" w:hAnsi="Calibri"/>
                <w:color w:val="000000"/>
                <w:sz w:val="22"/>
              </w:rPr>
              <w:t xml:space="preserve">  </w:t>
            </w:r>
          </w:p>
        </w:tc>
        <w:tc>
          <w:tcPr>
            <w:tcBorders>
              <w:top w:val="nil"/>
            </w:tcBorders>
            <w:vAlign w:val="bottom"/>
          </w:tcPr>
          <w:p>
            <w:pPr>
              <w:spacing w:beforeAutospacing="true" w:afterAutospacing="true"/>
              <w:jc w:val="center"/>
            </w:pPr>
            <w:r>
              <w:rPr>
                <w:rFonts w:ascii="Calibri" w:hAnsi="Calibri"/>
                <w:color w:val="000000"/>
                <w:sz w:val="22"/>
              </w:rPr>
              <w:t xml:space="preserve">  </w:t>
            </w:r>
          </w:p>
        </w:tc>
      </w:tr>
      <w:tr>
        <w:trPr>
          <w:cantSplit w:val="true"/>
        </w:trPr>
        <w:tc>
          <w:tcPr>
            <w:tcBorders>
              <w:top w:val="nil"/>
            </w:tcBorders>
            <w:vAlign w:val="top"/>
          </w:tcPr>
          <w:p>
            <w:pPr>
              <w:spacing w:beforeAutospacing="true" w:afterAutospacing="true"/>
              <w:jc w:val="left"/>
            </w:pPr>
            <w:r>
              <w:rPr>
                <w:rFonts w:ascii="Calibri" w:hAnsi="Calibri"/>
                <w:color w:val="000000"/>
                <w:sz w:val="22"/>
              </w:rPr>
              <w:t xml:space="preserve">Employment and Employment Training</w:t>
            </w:r>
          </w:p>
        </w:tc>
        <w:tc>
          <w:tcPr>
            <w:tcBorders>
              <w:top w:val="nil"/>
            </w:tcBorders>
            <w:vAlign w:val="bottom"/>
          </w:tcPr>
          <w:p>
            <w:pPr>
              <w:spacing w:beforeAutospacing="true" w:afterAutospacing="true"/>
              <w:jc w:val="center"/>
            </w:pPr>
            <w:r>
              <w:rPr>
                <w:rFonts w:ascii="Calibri" w:hAnsi="Calibri"/>
                <w:color w:val="000000"/>
                <w:sz w:val="22"/>
              </w:rPr>
              <w:t xml:space="preserve">X</w:t>
            </w:r>
          </w:p>
        </w:tc>
        <w:tc>
          <w:tcPr>
            <w:tcBorders>
              <w:top w:val="nil"/>
            </w:tcBorders>
            <w:vAlign w:val="bottom"/>
          </w:tcPr>
          <w:p>
            <w:pPr>
              <w:spacing w:beforeAutospacing="true" w:afterAutospacing="true"/>
              <w:jc w:val="center"/>
            </w:pPr>
            <w:r>
              <w:rPr>
                <w:rFonts w:ascii="Calibri" w:hAnsi="Calibri"/>
                <w:color w:val="000000"/>
                <w:sz w:val="22"/>
              </w:rPr>
              <w:t xml:space="preserve">  </w:t>
            </w:r>
          </w:p>
        </w:tc>
        <w:tc>
          <w:tcPr>
            <w:tcBorders>
              <w:top w:val="nil"/>
            </w:tcBorders>
            <w:vAlign w:val="bottom"/>
          </w:tcPr>
          <w:p>
            <w:pPr>
              <w:spacing w:beforeAutospacing="true" w:afterAutospacing="true"/>
              <w:jc w:val="center"/>
            </w:pPr>
            <w:r>
              <w:rPr>
                <w:rFonts w:ascii="Calibri" w:hAnsi="Calibri"/>
                <w:color w:val="000000"/>
                <w:sz w:val="22"/>
              </w:rPr>
              <w:t xml:space="preserve">  </w:t>
            </w:r>
          </w:p>
        </w:tc>
      </w:tr>
      <w:tr>
        <w:trPr>
          <w:cantSplit w:val="true"/>
        </w:trPr>
        <w:tc>
          <w:tcPr>
            <w:tcBorders>
              <w:top w:val="nil"/>
            </w:tcBorders>
            <w:vAlign w:val="top"/>
          </w:tcPr>
          <w:p>
            <w:pPr>
              <w:spacing w:beforeAutospacing="true" w:afterAutospacing="true"/>
              <w:jc w:val="left"/>
            </w:pPr>
            <w:r>
              <w:rPr>
                <w:rFonts w:ascii="Calibri" w:hAnsi="Calibri"/>
                <w:color w:val="000000"/>
                <w:sz w:val="22"/>
              </w:rPr>
              <w:t xml:space="preserve">Healthcare</w:t>
            </w:r>
          </w:p>
        </w:tc>
        <w:tc>
          <w:tcPr>
            <w:tcBorders>
              <w:top w:val="nil"/>
            </w:tcBorders>
            <w:vAlign w:val="bottom"/>
          </w:tcPr>
          <w:p>
            <w:pPr>
              <w:spacing w:beforeAutospacing="true" w:afterAutospacing="true"/>
              <w:jc w:val="center"/>
            </w:pPr>
            <w:r>
              <w:rPr>
                <w:rFonts w:ascii="Calibri" w:hAnsi="Calibri"/>
                <w:color w:val="000000"/>
                <w:sz w:val="22"/>
              </w:rPr>
              <w:t xml:space="preserve">X</w:t>
            </w:r>
          </w:p>
        </w:tc>
        <w:tc>
          <w:tcPr>
            <w:tcBorders>
              <w:top w:val="nil"/>
            </w:tcBorders>
            <w:vAlign w:val="bottom"/>
          </w:tcPr>
          <w:p>
            <w:pPr>
              <w:spacing w:beforeAutospacing="true" w:afterAutospacing="true"/>
              <w:jc w:val="center"/>
            </w:pPr>
            <w:r>
              <w:rPr>
                <w:rFonts w:ascii="Calibri" w:hAnsi="Calibri"/>
                <w:color w:val="000000"/>
                <w:sz w:val="22"/>
              </w:rPr>
              <w:t xml:space="preserve">  </w:t>
            </w:r>
          </w:p>
        </w:tc>
        <w:tc>
          <w:tcPr>
            <w:tcBorders>
              <w:top w:val="nil"/>
            </w:tcBorders>
            <w:vAlign w:val="bottom"/>
          </w:tcPr>
          <w:p>
            <w:pPr>
              <w:spacing w:beforeAutospacing="true" w:afterAutospacing="true"/>
              <w:jc w:val="center"/>
            </w:pPr>
            <w:r>
              <w:rPr>
                <w:rFonts w:ascii="Calibri" w:hAnsi="Calibri"/>
                <w:color w:val="000000"/>
                <w:sz w:val="22"/>
              </w:rPr>
              <w:t xml:space="preserve">  </w:t>
            </w:r>
          </w:p>
        </w:tc>
      </w:tr>
      <w:tr>
        <w:trPr>
          <w:cantSplit w:val="true"/>
        </w:trPr>
        <w:tc>
          <w:tcPr>
            <w:tcBorders>
              <w:top w:val="nil"/>
            </w:tcBorders>
            <w:vAlign w:val="top"/>
          </w:tcPr>
          <w:p>
            <w:pPr>
              <w:spacing w:beforeAutospacing="true" w:afterAutospacing="true"/>
              <w:jc w:val="left"/>
            </w:pPr>
            <w:r>
              <w:rPr>
                <w:rFonts w:ascii="Calibri" w:hAnsi="Calibri"/>
                <w:color w:val="000000"/>
                <w:sz w:val="22"/>
              </w:rPr>
              <w:t xml:space="preserve">HIV/AIDS</w:t>
            </w:r>
          </w:p>
        </w:tc>
        <w:tc>
          <w:tcPr>
            <w:tcBorders>
              <w:top w:val="nil"/>
            </w:tcBorders>
            <w:vAlign w:val="bottom"/>
          </w:tcPr>
          <w:p>
            <w:pPr>
              <w:spacing w:beforeAutospacing="true" w:afterAutospacing="true"/>
              <w:jc w:val="center"/>
            </w:pPr>
            <w:r>
              <w:rPr>
                <w:rFonts w:ascii="Calibri" w:hAnsi="Calibri"/>
                <w:color w:val="000000"/>
                <w:sz w:val="22"/>
              </w:rPr>
              <w:t xml:space="preserve">X</w:t>
            </w:r>
          </w:p>
        </w:tc>
        <w:tc>
          <w:tcPr>
            <w:tcBorders>
              <w:top w:val="nil"/>
            </w:tcBorders>
            <w:vAlign w:val="bottom"/>
          </w:tcPr>
          <w:p>
            <w:pPr>
              <w:spacing w:beforeAutospacing="true" w:afterAutospacing="true"/>
              <w:jc w:val="center"/>
            </w:pPr>
            <w:r>
              <w:rPr>
                <w:rFonts w:ascii="Calibri" w:hAnsi="Calibri"/>
                <w:color w:val="000000"/>
                <w:sz w:val="22"/>
              </w:rPr>
              <w:t xml:space="preserve">  </w:t>
            </w:r>
          </w:p>
        </w:tc>
        <w:tc>
          <w:tcPr>
            <w:tcBorders>
              <w:top w:val="nil"/>
            </w:tcBorders>
            <w:vAlign w:val="bottom"/>
          </w:tcPr>
          <w:p>
            <w:pPr>
              <w:spacing w:beforeAutospacing="true" w:afterAutospacing="true"/>
              <w:jc w:val="center"/>
            </w:pPr>
            <w:r>
              <w:rPr>
                <w:rFonts w:ascii="Calibri" w:hAnsi="Calibri"/>
                <w:color w:val="000000"/>
                <w:sz w:val="22"/>
              </w:rPr>
              <w:t xml:space="preserve">  </w:t>
            </w:r>
          </w:p>
        </w:tc>
      </w:tr>
      <w:tr>
        <w:trPr>
          <w:cantSplit w:val="true"/>
        </w:trPr>
        <w:tc>
          <w:tcPr>
            <w:tcBorders>
              <w:top w:val="nil"/>
            </w:tcBorders>
            <w:vAlign w:val="top"/>
          </w:tcPr>
          <w:p>
            <w:pPr>
              <w:spacing w:beforeAutospacing="true" w:afterAutospacing="true"/>
              <w:jc w:val="left"/>
            </w:pPr>
            <w:r>
              <w:rPr>
                <w:rFonts w:ascii="Calibri" w:hAnsi="Calibri"/>
                <w:color w:val="000000"/>
                <w:sz w:val="22"/>
              </w:rPr>
              <w:t xml:space="preserve">Life Skills</w:t>
            </w:r>
          </w:p>
        </w:tc>
        <w:tc>
          <w:tcPr>
            <w:tcBorders>
              <w:top w:val="nil"/>
            </w:tcBorders>
            <w:vAlign w:val="bottom"/>
          </w:tcPr>
          <w:p>
            <w:pPr>
              <w:spacing w:beforeAutospacing="true" w:afterAutospacing="true"/>
              <w:jc w:val="center"/>
            </w:pPr>
            <w:r>
              <w:rPr>
                <w:rFonts w:ascii="Calibri" w:hAnsi="Calibri"/>
                <w:color w:val="000000"/>
                <w:sz w:val="22"/>
              </w:rPr>
              <w:t xml:space="preserve">X</w:t>
            </w:r>
          </w:p>
        </w:tc>
        <w:tc>
          <w:tcPr>
            <w:tcBorders>
              <w:top w:val="nil"/>
            </w:tcBorders>
            <w:vAlign w:val="bottom"/>
          </w:tcPr>
          <w:p>
            <w:pPr>
              <w:spacing w:beforeAutospacing="true" w:afterAutospacing="true"/>
              <w:jc w:val="center"/>
            </w:pPr>
            <w:r>
              <w:rPr>
                <w:rFonts w:ascii="Calibri" w:hAnsi="Calibri"/>
                <w:color w:val="000000"/>
                <w:sz w:val="22"/>
              </w:rPr>
              <w:t xml:space="preserve">  </w:t>
            </w:r>
          </w:p>
        </w:tc>
        <w:tc>
          <w:tcPr>
            <w:tcBorders>
              <w:top w:val="nil"/>
            </w:tcBorders>
            <w:vAlign w:val="bottom"/>
          </w:tcPr>
          <w:p>
            <w:pPr>
              <w:spacing w:beforeAutospacing="true" w:afterAutospacing="true"/>
              <w:jc w:val="center"/>
            </w:pPr>
            <w:r>
              <w:rPr>
                <w:rFonts w:ascii="Calibri" w:hAnsi="Calibri"/>
                <w:color w:val="000000"/>
                <w:sz w:val="22"/>
              </w:rPr>
              <w:t xml:space="preserve">  </w:t>
            </w:r>
          </w:p>
        </w:tc>
      </w:tr>
      <w:tr>
        <w:trPr>
          <w:cantSplit w:val="true"/>
        </w:trPr>
        <w:tc>
          <w:tcPr>
            <w:tcBorders>
              <w:top w:val="nil"/>
            </w:tcBorders>
            <w:vAlign w:val="top"/>
          </w:tcPr>
          <w:p>
            <w:pPr>
              <w:spacing w:beforeAutospacing="true" w:afterAutospacing="true"/>
              <w:jc w:val="left"/>
            </w:pPr>
            <w:r>
              <w:rPr>
                <w:rFonts w:ascii="Calibri" w:hAnsi="Calibri"/>
                <w:color w:val="000000"/>
                <w:sz w:val="22"/>
              </w:rPr>
              <w:t xml:space="preserve">Mental Health Counseling</w:t>
            </w:r>
          </w:p>
        </w:tc>
        <w:tc>
          <w:tcPr>
            <w:tcBorders>
              <w:top w:val="nil"/>
            </w:tcBorders>
            <w:vAlign w:val="bottom"/>
          </w:tcPr>
          <w:p>
            <w:pPr>
              <w:spacing w:beforeAutospacing="true" w:afterAutospacing="true"/>
              <w:jc w:val="center"/>
            </w:pPr>
            <w:r>
              <w:rPr>
                <w:rFonts w:ascii="Calibri" w:hAnsi="Calibri"/>
                <w:color w:val="000000"/>
                <w:sz w:val="22"/>
              </w:rPr>
              <w:t xml:space="preserve">X</w:t>
            </w:r>
          </w:p>
        </w:tc>
        <w:tc>
          <w:tcPr>
            <w:tcBorders>
              <w:top w:val="nil"/>
            </w:tcBorders>
            <w:vAlign w:val="bottom"/>
          </w:tcPr>
          <w:p>
            <w:pPr>
              <w:spacing w:beforeAutospacing="true" w:afterAutospacing="true"/>
              <w:jc w:val="center"/>
            </w:pPr>
            <w:r>
              <w:rPr>
                <w:rFonts w:ascii="Calibri" w:hAnsi="Calibri"/>
                <w:color w:val="000000"/>
                <w:sz w:val="22"/>
              </w:rPr>
              <w:t xml:space="preserve">  </w:t>
            </w:r>
          </w:p>
        </w:tc>
        <w:tc>
          <w:tcPr>
            <w:tcBorders>
              <w:top w:val="nil"/>
            </w:tcBorders>
            <w:vAlign w:val="bottom"/>
          </w:tcPr>
          <w:p>
            <w:pPr>
              <w:spacing w:beforeAutospacing="true" w:afterAutospacing="true"/>
              <w:jc w:val="center"/>
            </w:pPr>
            <w:r>
              <w:rPr>
                <w:rFonts w:ascii="Calibri" w:hAnsi="Calibri"/>
                <w:color w:val="000000"/>
                <w:sz w:val="22"/>
              </w:rPr>
              <w:t xml:space="preserve">  </w:t>
            </w:r>
          </w:p>
        </w:tc>
      </w:tr>
      <w:tr>
        <w:trPr>
          <w:cantSplit w:val="true"/>
        </w:trPr>
        <w:tc>
          <w:tcPr>
            <w:tcBorders>
              <w:top w:val="nil"/>
            </w:tcBorders>
            <w:vAlign w:val="top"/>
          </w:tcPr>
          <w:p>
            <w:pPr>
              <w:spacing w:beforeAutospacing="true" w:afterAutospacing="true"/>
              <w:jc w:val="left"/>
            </w:pPr>
            <w:r>
              <w:rPr>
                <w:rFonts w:ascii="Calibri" w:hAnsi="Calibri"/>
                <w:color w:val="000000"/>
                <w:sz w:val="22"/>
              </w:rPr>
              <w:t xml:space="preserve">Transportation</w:t>
            </w:r>
          </w:p>
        </w:tc>
        <w:tc>
          <w:tcPr>
            <w:tcBorders>
              <w:top w:val="nil"/>
            </w:tcBorders>
            <w:vAlign w:val="bottom"/>
          </w:tcPr>
          <w:p>
            <w:pPr>
              <w:spacing w:beforeAutospacing="true" w:afterAutospacing="true"/>
              <w:jc w:val="center"/>
            </w:pPr>
            <w:r>
              <w:rPr>
                <w:rFonts w:ascii="Calibri" w:hAnsi="Calibri"/>
                <w:color w:val="000000"/>
                <w:sz w:val="22"/>
              </w:rPr>
              <w:t xml:space="preserve">X</w:t>
            </w:r>
          </w:p>
        </w:tc>
        <w:tc>
          <w:tcPr>
            <w:tcBorders>
              <w:top w:val="nil"/>
            </w:tcBorders>
            <w:vAlign w:val="bottom"/>
          </w:tcPr>
          <w:p>
            <w:pPr>
              <w:spacing w:beforeAutospacing="true" w:afterAutospacing="true"/>
              <w:jc w:val="center"/>
            </w:pPr>
            <w:r>
              <w:rPr>
                <w:rFonts w:ascii="Calibri" w:hAnsi="Calibri"/>
                <w:color w:val="000000"/>
                <w:sz w:val="22"/>
              </w:rPr>
              <w:t xml:space="preserve">  </w:t>
            </w:r>
          </w:p>
        </w:tc>
        <w:tc>
          <w:tcPr>
            <w:tcBorders>
              <w:top w:val="nil"/>
            </w:tcBorders>
            <w:vAlign w:val="bottom"/>
          </w:tcPr>
          <w:p>
            <w:pPr>
              <w:spacing w:beforeAutospacing="true" w:afterAutospacing="true"/>
              <w:jc w:val="center"/>
            </w:pPr>
            <w:r>
              <w:rPr>
                <w:rFonts w:ascii="Calibri" w:hAnsi="Calibri"/>
                <w:color w:val="000000"/>
                <w:sz w:val="22"/>
              </w:rPr>
              <w:t xml:space="preserve">  </w:t>
            </w:r>
          </w:p>
        </w:tc>
      </w:tr>
    </w:tbl>
    <w:p>
      <w:pPr>
        <w:spacing w:after="0" w:line="14" w:lineRule="exact"/>
        <w:rPr>
          <w:rFonts w:cs="Arial"/>
          <w:vanish/>
        </w:rPr>
      </w:pPr>
    </w:p>
    <w:tbl>
      <w:tblPr>
        <w:tblW w:w="5000" w:type="pct"/>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15" w:type="dxa"/>
          <w:right w:w="115" w:type="dxa"/>
        </w:tblCellMar>
        <w:tblLook w:firstRow="1" w:lastRow="1" w:firstColumn="1" w:lastColumn="1" w:noHBand="0" w:noVBand="0" w:val="01E0"/>
      </w:tblPr>
      <w:tblGrid>
        <w:gridCol w:w="3098"/>
        <w:gridCol w:w="2164"/>
        <w:gridCol w:w="2164"/>
        <w:gridCol w:w="2164"/>
      </w:tblGrid>
      <w:tr>
        <w:trPr>
          <w:cantSplit/>
          <w:trHeight w:val="107"/>
          <w:tblHeader/>
        </w:trPr>
        <w:tc>
          <w:tcPr>
            <w:tcW w:w="9468" w:type="dxa"/>
            <w:gridSpan w:val="4"/>
          </w:tcPr>
          <w:p>
            <w:pPr>
              <w:keepNext/>
              <w:widowControl w:val="false"/>
              <w:spacing w:after="0" w:line="240" w:lineRule="auto"/>
              <w:jc w:val="center"/>
              <w:rPr>
                <w:rFonts w:cs="Arial"/>
              </w:rPr>
            </w:pPr>
            <w:r>
              <w:rPr>
                <w:b/>
                <w:bCs/>
              </w:rPr>
              <w:t>Other</w:t>
            </w:r>
          </w:p>
        </w:tc>
      </w:tr>
      <w:tr>
        <w:trPr>
          <w:cantSplit w:val="true"/>
        </w:trPr>
        <w:tc>
          <w:tcPr>
            <w:tcBorders>
              <w:top w:val="nil"/>
            </w:tcBorders>
            <w:vAlign w:val="top"/>
          </w:tcPr>
          <w:p>
            <w:pPr>
              <w:spacing w:beforeAutospacing="true" w:afterAutospacing="true"/>
              <w:jc w:val="left"/>
            </w:pPr>
            <w:r>
              <w:rPr>
                <w:rFonts w:ascii="Calibri" w:hAnsi="Calibri"/>
                <w:color w:val="000000"/>
                <w:sz w:val="22"/>
              </w:rPr>
              <w:t xml:space="preserve"> </w:t>
            </w:r>
          </w:p>
        </w:tc>
        <w:tc>
          <w:tcPr>
            <w:tcBorders>
              <w:top w:val="nil"/>
            </w:tcBorders>
            <w:vAlign w:val="bottom"/>
          </w:tcPr>
          <w:p>
            <w:pPr>
              <w:spacing w:beforeAutospacing="true" w:afterAutospacing="true"/>
              <w:jc w:val="center"/>
            </w:pPr>
            <w:r>
              <w:rPr>
                <w:rFonts w:ascii="Calibri" w:hAnsi="Calibri"/>
                <w:color w:val="000000"/>
                <w:sz w:val="22"/>
              </w:rPr>
              <w:t xml:space="preserve">X</w:t>
            </w:r>
          </w:p>
        </w:tc>
        <w:tc>
          <w:tcPr>
            <w:tcBorders>
              <w:top w:val="nil"/>
            </w:tcBorders>
            <w:vAlign w:val="bottom"/>
          </w:tcPr>
          <w:p>
            <w:pPr>
              <w:spacing w:beforeAutospacing="true" w:afterAutospacing="true"/>
              <w:jc w:val="center"/>
            </w:pPr>
            <w:r>
              <w:rPr>
                <w:rFonts w:ascii="Calibri" w:hAnsi="Calibri"/>
                <w:color w:val="000000"/>
                <w:sz w:val="22"/>
              </w:rPr>
              <w:t xml:space="preserve"> </w:t>
            </w:r>
          </w:p>
        </w:tc>
        <w:tc>
          <w:tcPr>
            <w:tcBorders>
              <w:top w:val="nil"/>
            </w:tcBorders>
            <w:vAlign w:val="bottom"/>
          </w:tcPr>
          <w:p>
            <w:pPr>
              <w:spacing w:beforeAutospacing="true" w:afterAutospacing="true"/>
              <w:jc w:val="center"/>
            </w:pPr>
            <w:r>
              <w:rPr>
                <w:rFonts w:ascii="Calibri" w:hAnsi="Calibri"/>
                <w:color w:val="000000"/>
                <w:sz w:val="22"/>
              </w:rPr>
              <w:t xml:space="preserve"> </w:t>
            </w:r>
          </w:p>
        </w:tc>
      </w:tr>
    </w:tbl>
    <w:p>
      <w:pPr>
        <w:pStyle w:val="Caption"/>
        <w:jc w:val="center"/>
        <w:rPr>
          <w:rFonts w:asciiTheme="minorHAnsi" w:hAnsiTheme="minorHAnsi"/>
        </w:rPr>
      </w:pPr>
      <w:r>
        <w:rPr>
          <w:rFonts w:asciiTheme="minorHAnsi" w:hAnsiTheme="minorHAnsi"/>
        </w:rPr>
        <w:t xml:space="preserve">Table </w:t>
        <w:fldChar w:fldCharType="begin"/>
        <w:instrText xml:space="preserve"> SEQ Table \* ARABIC </w:instrText>
        <w:fldChar w:fldCharType="separate"/>
        <w:t>22</w:t>
        <w:fldChar w:fldCharType="end"/>
        <w:t xml:space="preserve"> </w:t>
      </w:r>
      <w:r>
        <w:rPr>
          <w:rFonts w:cs="Arial" w:asciiTheme="minorHAnsi" w:hAnsiTheme="minorHAnsi"/>
        </w:rPr>
        <w:t>- Homeless Prevention Services Summary</w:t>
      </w:r>
    </w:p>
    <w:p>
      <w:pPr>
        <w:rPr>
          <w:b/>
          <w:sz w:val="24"/>
          <w:szCs w:val="24"/>
        </w:rPr>
      </w:pPr>
      <w:r>
        <w:rPr>
          <w:b/>
          <w:sz w:val="24"/>
          <w:szCs w:val="24"/>
        </w:rPr>
        <w:t>Describe how the service delivery system including, but not limited to, the services listed above meet the needs of homeless persons (particularly chronically homeless individuals and families, families with children, veterans and their families, and unaccompanied youth)</w:t>
      </w:r>
    </w:p>
    <w:p>
      <w:pPr>
        <w:spacing w:beforeAutospacing="true" w:afterAutospacing="true"/>
        <w:rPr>
          <w:rFonts w:cs="Arial"/>
        </w:rPr>
      </w:pPr>
      <w:r>
        <w:rPr>
          <w:rFonts w:cs="Arial"/>
        </w:rPr>
        <w:t xml:space="preserve">The Salt Lake Valley Coalition to End Homelessness is a large, diverse, community and government agency represented organization.  Charged with making homelessness, brief, rapid and non-recurring the Coalition carries that same philosophies to all segments of the homeless community.  The array of services noted above have been specifically designed to meet the needs and be accessible for subgroups of the homeless population.  One key to access has for services has been the development of the Coordinated Entry capability within the service delivery system.  While a continuing work in progress, those who in a homeless situation can present for services and be given options for services that best meet their needs.  Coupled with data from the Point in Time Count, HMIS, and other data collected by the agencies help inform providers in making real time decisions on service needs and delivery.  Because “one size doesn’t fit all”, there are specialty programs and services for the particular homeless sub populations, each designed to fit specific needs.</w:t>
      </w:r>
    </w:p>
    <w:p>
      <w:pPr>
        <w:spacing w:beforeAutospacing="true" w:afterAutospacing="true"/>
        <w:rPr>
          <w:rFonts w:cs="Arial"/>
        </w:rPr>
      </w:pPr>
    </w:p>
    <w:p>
      <w:pPr>
        <w:rPr>
          <w:b/>
          <w:sz w:val="24"/>
          <w:szCs w:val="24"/>
        </w:rPr>
      </w:pPr>
      <w:r>
        <w:rPr>
          <w:b/>
          <w:sz w:val="24"/>
          <w:szCs w:val="24"/>
        </w:rPr>
        <w:t>Describe the strengths and gaps of the service delivery system for special needs population and persons experiencing homelessness, including, but not limited to, the services listed above</w:t>
      </w:r>
    </w:p>
    <w:p>
      <w:pPr>
        <w:spacing w:beforeAutospacing="true" w:afterAutospacing="true"/>
        <w:rPr>
          <w:rFonts w:cs="Arial"/>
          <w:szCs w:val="24"/>
        </w:rPr>
      </w:pPr>
      <w:r>
        <w:rPr>
          <w:rFonts w:cs="Arial"/>
        </w:rPr>
        <w:t xml:space="preserve">Strengths beyond the array of services noted above, continues to be (1) the ability of all parties involved in the homeless services delivery system to be willing to set down together, hash out problems and come to solutions that benefit the homeless population. (2) Major funders at the State, City8 and County level can do the same, put aside political and jurisdictional issues to focus on the issues at hand and take action. (3) A remarkable array of service agencies with talent staff who work hard at serving the homeless populations with dignity and respect. (4) Using best practices in the delivery of services such as housing first. (5) Being nimble as exemplified with the current COVI 19 pandemic in looking at alternative solutions in housing and treating those who contacted the disease or needed to be quarantined because of association with someone who had COVID 19.</w:t>
      </w:r>
    </w:p>
    <w:p>
      <w:pPr>
        <w:spacing w:beforeAutospacing="true" w:afterAutospacing="true"/>
        <w:rPr>
          <w:rFonts w:cs="Arial"/>
          <w:szCs w:val="24"/>
        </w:rPr>
      </w:pPr>
      <w:r>
        <w:rPr>
          <w:rFonts w:cs="Arial"/>
        </w:rPr>
        <w:t xml:space="preserve">Currently gaps in the service delivery system include (1) lack of and access to affordable housing. (2) case managers with manageable caseloads that can deal more effectively with clients given a workable caseload.  (2) Upgrade and/or replacement of the HMIS to provide a more robust array of data and the ability to easily put in and report out information. (3) Rental assistance for those economically impacted by COVID 19 and lack the resources to maintain their housing and are now at risk of becoming homeless.  (4) Better access to and more resources for those with behavioral health challenges which impact their ability to get into and maintain housing.</w:t>
      </w:r>
    </w:p>
    <w:p>
      <w:pPr>
        <w:rPr>
          <w:b/>
          <w:sz w:val="24"/>
          <w:szCs w:val="24"/>
        </w:rPr>
      </w:pPr>
      <w:r>
        <w:rPr>
          <w:b/>
          <w:sz w:val="24"/>
          <w:szCs w:val="24"/>
        </w:rPr>
        <w:t>Provide a summary of the strategy for overcoming gaps in the institutional structure and service delivery system for carrying out a strategy to address priority needs</w:t>
      </w:r>
    </w:p>
    <w:p>
      <w:pPr>
        <w:spacing w:beforeAutospacing="true" w:afterAutospacing="true"/>
        <w:rPr>
          <w:rFonts w:cs="Arial"/>
        </w:rPr>
      </w:pPr>
      <w:r>
        <w:rPr>
          <w:rFonts w:cs="Arial"/>
        </w:rPr>
        <w:t xml:space="preserve">The strategy that has worked in the past and continues today in overcoming gaps and solving problems is (1) Get the right people around the table (2) Using data, identify and quantify what are the problems (gaps) that need to be resolved. (3) Come to an agreement on what are the goals and outcomes expected.  (4) Obtain buy off on those goals ad outcomes from those who have the authority and power to make decisions for the organization or sector of the community they8represent (5) Ask someone/organization to lead the effort with responsibility and skills to keep focused on the goal and keep everyone apprised of progress toward meeting the goals and expectations.</w:t>
      </w:r>
    </w:p>
    <w:p>
      <w:pPr>
        <w:spacing w:beforeAutospacing="true" w:afterAutospacing="true"/>
        <w:rPr>
          <w:rFonts w:cs="Arial"/>
        </w:rPr>
      </w:pPr>
      <w:r>
        <w:rPr>
          <w:rFonts w:cs="Arial"/>
        </w:rPr>
        <w:t xml:space="preserve"> </w:t>
      </w:r>
    </w:p>
    <w:p>
      <w:pPr>
        <w:rPr>
          <w:rFonts w:cs="Arial"/>
        </w:rPr>
        <w:sectPr>
          <w:pgSz w:w="12240" w:h="15840"/>
          <w:pgMar w:top="1440" w:right="1440" w:bottom="1440" w:left="1440" w:header="720" w:footer="720" w:gutter="0"/>
          <w:cols w:space="720"/>
          <w:docGrid w:linePitch="360"/>
        </w:sectPr>
      </w:pPr>
    </w:p>
    <w:p>
      <w:pPr>
        <w:rPr>
          <w:b/>
          <w:sz w:val="28"/>
          <w:szCs w:val="28"/>
        </w:rPr>
      </w:pPr>
      <w:r>
        <w:rPr>
          <w:b/>
          <w:sz w:val="28"/>
          <w:szCs w:val="28"/>
        </w:rPr>
        <w:t>SP-45 Goals - 91.415, 91.215(a)(4)</w:t>
      </w:r>
    </w:p>
    <w:p>
      <w:pPr>
        <w:keepNext/>
        <w:rPr>
          <w:b/>
          <w:sz w:val="24"/>
          <w:szCs w:val="24"/>
        </w:rPr>
      </w:pPr>
      <w:r>
        <w:rPr>
          <w:b/>
          <w:sz w:val="24"/>
          <w:szCs w:val="24"/>
        </w:rPr>
        <w:t xml:space="preserve">Goals Summary Information </w:t>
      </w:r>
    </w:p>
    <w:tbl>
      <w:tblPr>
        <w:tblW w:w="5298" w:type="pct"/>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firstRow="1" w:lastRow="1" w:firstColumn="1" w:lastColumn="1" w:noHBand="0" w:noVBand="0" w:val="01E0"/>
      </w:tblPr>
      <w:tblGrid>
        <w:gridCol w:w="1778"/>
        <w:gridCol w:w="1780"/>
        <w:gridCol w:w="620"/>
        <w:gridCol w:w="591"/>
        <w:gridCol w:w="1221"/>
        <w:gridCol w:w="1275"/>
        <w:gridCol w:w="1162"/>
        <w:gridCol w:w="2306"/>
        <w:gridCol w:w="3228"/>
      </w:tblGrid>
      <w:tr>
        <w:trPr>
          <w:cantSplit/>
          <w:trHeight w:val="470"/>
          <w:tblHeader/>
        </w:trPr>
        <w:tc>
          <w:tcPr>
            <w:tcW w:w="1793" w:type="dxa"/>
            <w:tcBorders>
              <w:top w:val="single" w:color="auto" w:sz="4" w:space="0"/>
              <w:left w:val="single" w:color="auto" w:sz="4" w:space="0"/>
              <w:bottom w:val="single" w:color="auto" w:sz="4" w:space="0"/>
              <w:right w:val="single" w:color="auto" w:sz="4" w:space="0"/>
            </w:tcBorders>
            <w:hideMark/>
          </w:tcPr>
          <w:p>
            <w:pPr>
              <w:keepNext/>
              <w:widowControl w:val="false"/>
              <w:spacing w:after="0" w:line="240" w:lineRule="auto"/>
              <w:jc w:val="center"/>
              <w:rPr>
                <w:b/>
                <w:sz w:val="20"/>
                <w:szCs w:val="20"/>
              </w:rPr>
            </w:pPr>
            <w:r>
              <w:rPr>
                <w:b/>
                <w:sz w:val="20"/>
                <w:szCs w:val="20"/>
              </w:rPr>
              <w:t>Sort Order</w:t>
            </w:r>
          </w:p>
        </w:tc>
        <w:tc>
          <w:tcPr>
            <w:tcW w:w="1794" w:type="dxa"/>
            <w:tcBorders>
              <w:top w:val="single" w:color="auto" w:sz="4" w:space="0"/>
              <w:left w:val="single" w:color="auto" w:sz="4" w:space="0"/>
              <w:bottom w:val="single" w:color="auto" w:sz="4" w:space="0"/>
              <w:right w:val="single" w:color="auto" w:sz="4" w:space="0"/>
            </w:tcBorders>
            <w:hideMark/>
          </w:tcPr>
          <w:p>
            <w:pPr>
              <w:keepNext/>
              <w:widowControl w:val="false"/>
              <w:spacing w:after="0" w:line="240" w:lineRule="auto"/>
              <w:jc w:val="center"/>
              <w:rPr>
                <w:b/>
                <w:sz w:val="20"/>
                <w:szCs w:val="20"/>
              </w:rPr>
            </w:pPr>
            <w:r>
              <w:rPr>
                <w:b/>
                <w:sz w:val="20"/>
                <w:szCs w:val="20"/>
              </w:rPr>
              <w:t>Goal Name</w:t>
            </w:r>
          </w:p>
        </w:tc>
        <w:tc>
          <w:tcPr>
            <w:tcW w:w="577" w:type="dxa"/>
            <w:tcBorders>
              <w:top w:val="single" w:color="auto" w:sz="4" w:space="0"/>
              <w:left w:val="single" w:color="auto" w:sz="4" w:space="0"/>
              <w:bottom w:val="single" w:color="auto" w:sz="4" w:space="0"/>
              <w:right w:val="single" w:color="auto" w:sz="4" w:space="0"/>
            </w:tcBorders>
            <w:hideMark/>
          </w:tcPr>
          <w:p>
            <w:pPr>
              <w:keepNext/>
              <w:widowControl w:val="false"/>
              <w:spacing w:after="0" w:line="240" w:lineRule="auto"/>
              <w:jc w:val="center"/>
              <w:rPr>
                <w:b/>
                <w:sz w:val="20"/>
                <w:szCs w:val="20"/>
              </w:rPr>
            </w:pPr>
            <w:r>
              <w:rPr>
                <w:b/>
                <w:sz w:val="20"/>
                <w:szCs w:val="20"/>
              </w:rPr>
              <w:t>Start Year</w:t>
            </w:r>
          </w:p>
        </w:tc>
        <w:tc>
          <w:tcPr>
            <w:tcW w:w="550" w:type="dxa"/>
            <w:tcBorders>
              <w:top w:val="single" w:color="auto" w:sz="4" w:space="0"/>
              <w:left w:val="single" w:color="auto" w:sz="4" w:space="0"/>
              <w:bottom w:val="single" w:color="auto" w:sz="4" w:space="0"/>
              <w:right w:val="single" w:color="auto" w:sz="4" w:space="0"/>
            </w:tcBorders>
            <w:hideMark/>
          </w:tcPr>
          <w:p>
            <w:pPr>
              <w:keepNext/>
              <w:widowControl w:val="false"/>
              <w:spacing w:after="0" w:line="240" w:lineRule="auto"/>
              <w:jc w:val="center"/>
              <w:rPr>
                <w:b/>
                <w:sz w:val="20"/>
                <w:szCs w:val="20"/>
              </w:rPr>
            </w:pPr>
            <w:r>
              <w:rPr>
                <w:b/>
                <w:sz w:val="20"/>
                <w:szCs w:val="20"/>
              </w:rPr>
              <w:t>End Year</w:t>
            </w:r>
          </w:p>
        </w:tc>
        <w:tc>
          <w:tcPr>
            <w:tcW w:w="1225" w:type="dxa"/>
            <w:tcBorders>
              <w:top w:val="single" w:color="auto" w:sz="4" w:space="0"/>
              <w:left w:val="single" w:color="auto" w:sz="4" w:space="0"/>
              <w:bottom w:val="single" w:color="auto" w:sz="4" w:space="0"/>
              <w:right w:val="single" w:color="auto" w:sz="4" w:space="0"/>
            </w:tcBorders>
            <w:hideMark/>
          </w:tcPr>
          <w:p>
            <w:pPr>
              <w:keepNext/>
              <w:widowControl w:val="false"/>
              <w:spacing w:after="0" w:line="240" w:lineRule="auto"/>
              <w:jc w:val="center"/>
              <w:rPr>
                <w:b/>
                <w:sz w:val="20"/>
                <w:szCs w:val="20"/>
              </w:rPr>
            </w:pPr>
            <w:r>
              <w:rPr>
                <w:b/>
                <w:sz w:val="20"/>
                <w:szCs w:val="20"/>
              </w:rPr>
              <w:t>Category</w:t>
            </w:r>
          </w:p>
        </w:tc>
        <w:tc>
          <w:tcPr>
            <w:tcW w:w="1276" w:type="dxa"/>
            <w:tcBorders>
              <w:top w:val="single" w:color="auto" w:sz="4" w:space="0"/>
              <w:left w:val="single" w:color="auto" w:sz="4" w:space="0"/>
              <w:bottom w:val="single" w:color="auto" w:sz="4" w:space="0"/>
              <w:right w:val="single" w:color="auto" w:sz="4" w:space="0"/>
            </w:tcBorders>
            <w:hideMark/>
          </w:tcPr>
          <w:p>
            <w:pPr>
              <w:keepNext/>
              <w:widowControl w:val="false"/>
              <w:spacing w:after="0" w:line="240" w:lineRule="auto"/>
              <w:jc w:val="center"/>
              <w:rPr>
                <w:b/>
                <w:sz w:val="20"/>
                <w:szCs w:val="20"/>
              </w:rPr>
            </w:pPr>
            <w:r>
              <w:rPr>
                <w:b/>
                <w:sz w:val="20"/>
                <w:szCs w:val="20"/>
              </w:rPr>
              <w:t>Geographic Area</w:t>
            </w:r>
          </w:p>
        </w:tc>
        <w:tc>
          <w:tcPr>
            <w:tcW w:w="1163" w:type="dxa"/>
            <w:tcBorders>
              <w:top w:val="single" w:color="auto" w:sz="4" w:space="0"/>
              <w:left w:val="single" w:color="auto" w:sz="4" w:space="0"/>
              <w:bottom w:val="single" w:color="auto" w:sz="4" w:space="0"/>
              <w:right w:val="single" w:color="auto" w:sz="4" w:space="0"/>
            </w:tcBorders>
            <w:hideMark/>
          </w:tcPr>
          <w:p>
            <w:pPr>
              <w:keepNext/>
              <w:widowControl w:val="false"/>
              <w:spacing w:after="0" w:line="240" w:lineRule="auto"/>
              <w:jc w:val="center"/>
              <w:rPr>
                <w:b/>
                <w:sz w:val="20"/>
                <w:szCs w:val="20"/>
              </w:rPr>
            </w:pPr>
            <w:r>
              <w:rPr>
                <w:b/>
                <w:sz w:val="20"/>
                <w:szCs w:val="20"/>
              </w:rPr>
              <w:t>Needs Addressed</w:t>
            </w:r>
          </w:p>
        </w:tc>
        <w:tc>
          <w:tcPr>
            <w:tcW w:w="2325" w:type="dxa"/>
            <w:tcBorders>
              <w:top w:val="single" w:color="auto" w:sz="4" w:space="0"/>
              <w:left w:val="single" w:color="auto" w:sz="4" w:space="0"/>
              <w:bottom w:val="single" w:color="auto" w:sz="4" w:space="0"/>
              <w:right w:val="single" w:color="auto" w:sz="4" w:space="0"/>
            </w:tcBorders>
            <w:hideMark/>
          </w:tcPr>
          <w:p>
            <w:pPr>
              <w:keepNext/>
              <w:widowControl w:val="false"/>
              <w:spacing w:after="0" w:line="240" w:lineRule="auto"/>
              <w:jc w:val="center"/>
              <w:rPr>
                <w:b/>
                <w:sz w:val="20"/>
                <w:szCs w:val="20"/>
              </w:rPr>
            </w:pPr>
            <w:r>
              <w:rPr>
                <w:b/>
                <w:sz w:val="20"/>
                <w:szCs w:val="20"/>
              </w:rPr>
              <w:t>Funding</w:t>
            </w:r>
          </w:p>
        </w:tc>
        <w:tc>
          <w:tcPr>
            <w:tcW w:w="3256" w:type="dxa"/>
            <w:tcBorders>
              <w:top w:val="single" w:color="auto" w:sz="4" w:space="0"/>
              <w:left w:val="single" w:color="auto" w:sz="4" w:space="0"/>
              <w:bottom w:val="single" w:color="auto" w:sz="4" w:space="0"/>
              <w:right w:val="single" w:color="auto" w:sz="4" w:space="0"/>
            </w:tcBorders>
            <w:hideMark/>
          </w:tcPr>
          <w:p>
            <w:pPr>
              <w:keepNext/>
              <w:widowControl w:val="false"/>
              <w:spacing w:after="0" w:line="240" w:lineRule="auto"/>
              <w:jc w:val="center"/>
              <w:rPr>
                <w:b/>
                <w:sz w:val="20"/>
                <w:szCs w:val="20"/>
              </w:rPr>
            </w:pPr>
            <w:r>
              <w:rPr>
                <w:b/>
                <w:sz w:val="20"/>
                <w:szCs w:val="20"/>
              </w:rPr>
              <w:t>Goal Outcome Indicator</w:t>
            </w:r>
          </w:p>
        </w:tc>
      </w:tr>
      <w:tr>
        <w:trPr>
          <w:cantSplit w:val="true"/>
        </w:trPr>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b/>
                <w:color w:val="000000"/>
                <w:sz w:val="22"/>
              </w:rPr>
              <w:t xml:space="preserve">1</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Housing Rehabilitation &amp; Accessibility</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right"/>
            </w:pPr>
            <w:r>
              <w:rPr>
                <w:rFonts w:ascii="Calibri" w:hAnsi="Calibri"/>
                <w:color w:val="000000"/>
                <w:sz w:val="22"/>
              </w:rPr>
              <w:t xml:space="preserve">2020</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right"/>
            </w:pPr>
            <w:r>
              <w:rPr>
                <w:rFonts w:ascii="Calibri" w:hAnsi="Calibri"/>
                <w:color w:val="000000"/>
                <w:sz w:val="22"/>
              </w:rPr>
              <w:t xml:space="preserve">2024</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Affordable Housing</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Salt Lake County</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Housing Rehabilitation</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right"/>
            </w:pPr>
            <w:r>
              <w:rPr>
                <w:rFonts w:ascii="Calibri" w:hAnsi="Calibri"/>
                <w:color w:val="000000"/>
                <w:sz w:val="22"/>
              </w:rPr>
              <w:t xml:space="preserve">CDBG: $495,000</w:t>
            </w:r>
            <w:r>
              <w:rPr>
                <w:rFonts w:ascii="Calibri" w:hAnsi="Calibri"/>
                <w:color w:val="000000"/>
                <w:sz w:val="22"/>
              </w:rPr>
              <w:br/>
              <w:t xml:space="preserve"/>
            </w:r>
            <w:r>
              <w:rPr>
                <w:rFonts w:ascii="Calibri" w:hAnsi="Calibri"/>
                <w:color w:val="000000"/>
                <w:sz w:val="22"/>
              </w:rPr>
              <w:t xml:space="preserve">HOME: $1,290,037</w:t>
            </w:r>
            <w:r>
              <w:rPr>
                <w:rFonts w:ascii="Calibri" w:hAnsi="Calibri"/>
                <w:color w:val="000000"/>
                <w:sz w:val="22"/>
              </w:rPr>
              <w:br/>
              <w:t xml:space="preserve"/>
            </w:r>
            <w:r>
              <w:rPr>
                <w:rFonts w:ascii="Calibri" w:hAnsi="Calibri"/>
                <w:color w:val="000000"/>
                <w:sz w:val="22"/>
              </w:rPr>
              <w:t xml:space="preserve">ESG: $0</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Homeowner Housing Rehabilitated:</w:t>
            </w:r>
            <w:r>
              <w:rPr>
                <w:rFonts w:ascii="Calibri" w:hAnsi="Calibri"/>
                <w:color w:val="000000"/>
                <w:sz w:val="22"/>
              </w:rPr>
              <w:br/>
              <w:t xml:space="preserve"/>
            </w:r>
            <w:r>
              <w:rPr>
                <w:rFonts w:ascii="Calibri" w:hAnsi="Calibri"/>
                <w:color w:val="000000"/>
                <w:sz w:val="22"/>
              </w:rPr>
              <w:t xml:space="preserve">250 Household Housing Unit</w:t>
            </w:r>
          </w:p>
        </w:tc>
      </w:tr>
      <w:tr>
        <w:trPr>
          <w:cantSplit w:val="true"/>
        </w:trPr>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b/>
                <w:color w:val="000000"/>
                <w:sz w:val="22"/>
              </w:rPr>
              <w:t xml:space="preserve">2</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Rental Housing</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right"/>
            </w:pPr>
            <w:r>
              <w:rPr>
                <w:rFonts w:ascii="Calibri" w:hAnsi="Calibri"/>
                <w:color w:val="000000"/>
                <w:sz w:val="22"/>
              </w:rPr>
              <w:t xml:space="preserve">2020</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right"/>
            </w:pPr>
            <w:r>
              <w:rPr>
                <w:rFonts w:ascii="Calibri" w:hAnsi="Calibri"/>
                <w:color w:val="000000"/>
                <w:sz w:val="22"/>
              </w:rPr>
              <w:t xml:space="preserve">2024</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Affordable Housing</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Salt Lake County</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Rental Housing</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right"/>
            </w:pPr>
            <w:r>
              <w:rPr>
                <w:rFonts w:ascii="Calibri" w:hAnsi="Calibri"/>
                <w:color w:val="000000"/>
                <w:sz w:val="22"/>
              </w:rPr>
              <w:t xml:space="preserve">HOME: $1,838,543</w:t>
            </w:r>
            <w:r>
              <w:rPr>
                <w:rFonts w:ascii="Calibri" w:hAnsi="Calibri"/>
                <w:color w:val="000000"/>
                <w:sz w:val="22"/>
              </w:rPr>
              <w:br/>
              <w:t xml:space="preserve"/>
            </w:r>
            <w:r>
              <w:rPr>
                <w:rFonts w:ascii="Calibri" w:hAnsi="Calibri"/>
                <w:color w:val="000000"/>
                <w:sz w:val="22"/>
              </w:rPr>
              <w:t xml:space="preserve">ESG: $0</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Rental units constructed:</w:t>
            </w:r>
            <w:r>
              <w:rPr>
                <w:rFonts w:ascii="Calibri" w:hAnsi="Calibri"/>
                <w:color w:val="000000"/>
                <w:sz w:val="22"/>
              </w:rPr>
              <w:br/>
              <w:t xml:space="preserve"/>
            </w:r>
            <w:r>
              <w:rPr>
                <w:rFonts w:ascii="Calibri" w:hAnsi="Calibri"/>
                <w:color w:val="000000"/>
                <w:sz w:val="22"/>
              </w:rPr>
              <w:t xml:space="preserve">307 Household Housing Unit</w:t>
            </w:r>
            <w:r>
              <w:rPr>
                <w:rFonts w:ascii="Calibri" w:hAnsi="Calibri"/>
                <w:color w:val="000000"/>
                <w:sz w:val="22"/>
              </w:rPr>
              <w:br/>
              <w:t xml:space="preserve"/>
            </w:r>
            <w:r>
              <w:rPr>
                <w:rFonts w:ascii="Calibri" w:hAnsi="Calibri"/>
                <w:color w:val="000000"/>
                <w:sz w:val="22"/>
              </w:rPr>
              <w:t xml:space="preserve"> </w:t>
            </w:r>
            <w:r>
              <w:rPr>
                <w:rFonts w:ascii="Calibri" w:hAnsi="Calibri"/>
                <w:color w:val="000000"/>
                <w:sz w:val="22"/>
              </w:rPr>
              <w:br/>
              <w:t xml:space="preserve"/>
            </w:r>
            <w:r>
              <w:rPr>
                <w:rFonts w:ascii="Calibri" w:hAnsi="Calibri"/>
                <w:color w:val="000000"/>
                <w:sz w:val="22"/>
              </w:rPr>
              <w:t xml:space="preserve">Rental units rehabilitated:</w:t>
            </w:r>
            <w:r>
              <w:rPr>
                <w:rFonts w:ascii="Calibri" w:hAnsi="Calibri"/>
                <w:color w:val="000000"/>
                <w:sz w:val="22"/>
              </w:rPr>
              <w:br/>
              <w:t xml:space="preserve"/>
            </w:r>
            <w:r>
              <w:rPr>
                <w:rFonts w:ascii="Calibri" w:hAnsi="Calibri"/>
                <w:color w:val="000000"/>
                <w:sz w:val="22"/>
              </w:rPr>
              <w:t xml:space="preserve">46 Household Housing Unit</w:t>
            </w:r>
          </w:p>
        </w:tc>
      </w:tr>
      <w:tr>
        <w:trPr>
          <w:cantSplit w:val="true"/>
        </w:trPr>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b/>
                <w:color w:val="000000"/>
                <w:sz w:val="22"/>
              </w:rPr>
              <w:t xml:space="preserve">3</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Rental Assistance</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right"/>
            </w:pPr>
            <w:r>
              <w:rPr>
                <w:rFonts w:ascii="Calibri" w:hAnsi="Calibri"/>
                <w:color w:val="000000"/>
                <w:sz w:val="22"/>
              </w:rPr>
              <w:t xml:space="preserve">2020</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right"/>
            </w:pPr>
            <w:r>
              <w:rPr>
                <w:rFonts w:ascii="Calibri" w:hAnsi="Calibri"/>
                <w:color w:val="000000"/>
                <w:sz w:val="22"/>
              </w:rPr>
              <w:t xml:space="preserve">2024</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Homeless</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Salt Lake County</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Rental assistance</w:t>
            </w:r>
            <w:r>
              <w:rPr>
                <w:rFonts w:ascii="Calibri" w:hAnsi="Calibri"/>
                <w:color w:val="000000"/>
                <w:sz w:val="22"/>
              </w:rPr>
              <w:br/>
              <w:t xml:space="preserve"/>
            </w:r>
            <w:r>
              <w:rPr>
                <w:rFonts w:ascii="Calibri" w:hAnsi="Calibri"/>
                <w:color w:val="000000"/>
                <w:sz w:val="22"/>
              </w:rPr>
              <w:t xml:space="preserve">Access to crisis assistance</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right"/>
            </w:pPr>
            <w:r>
              <w:rPr>
                <w:rFonts w:ascii="Calibri" w:hAnsi="Calibri"/>
                <w:color w:val="000000"/>
                <w:sz w:val="22"/>
              </w:rPr>
              <w:t xml:space="preserve">HOME: $550,000</w:t>
            </w:r>
            <w:r>
              <w:rPr>
                <w:rFonts w:ascii="Calibri" w:hAnsi="Calibri"/>
                <w:color w:val="000000"/>
                <w:sz w:val="22"/>
              </w:rPr>
              <w:br/>
              <w:t xml:space="preserve"/>
            </w:r>
            <w:r>
              <w:rPr>
                <w:rFonts w:ascii="Calibri" w:hAnsi="Calibri"/>
                <w:color w:val="000000"/>
                <w:sz w:val="22"/>
              </w:rPr>
              <w:t xml:space="preserve">ESG: $0</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Tenant-based rental assistance / Rapid Rehousing:</w:t>
            </w:r>
            <w:r>
              <w:rPr>
                <w:rFonts w:ascii="Calibri" w:hAnsi="Calibri"/>
                <w:color w:val="000000"/>
                <w:sz w:val="22"/>
              </w:rPr>
              <w:br/>
              <w:t xml:space="preserve"/>
            </w:r>
            <w:r>
              <w:rPr>
                <w:rFonts w:ascii="Calibri" w:hAnsi="Calibri"/>
                <w:color w:val="000000"/>
                <w:sz w:val="22"/>
              </w:rPr>
              <w:t xml:space="preserve">100 Households Assisted</w:t>
            </w:r>
          </w:p>
        </w:tc>
      </w:tr>
      <w:tr>
        <w:trPr>
          <w:cantSplit w:val="true"/>
        </w:trPr>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b/>
                <w:color w:val="000000"/>
                <w:sz w:val="22"/>
              </w:rPr>
              <w:t xml:space="preserve">4</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Homeownership</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right"/>
            </w:pPr>
            <w:r>
              <w:rPr>
                <w:rFonts w:ascii="Calibri" w:hAnsi="Calibri"/>
                <w:color w:val="000000"/>
                <w:sz w:val="22"/>
              </w:rPr>
              <w:t xml:space="preserve">2020</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right"/>
            </w:pPr>
            <w:r>
              <w:rPr>
                <w:rFonts w:ascii="Calibri" w:hAnsi="Calibri"/>
                <w:color w:val="000000"/>
                <w:sz w:val="22"/>
              </w:rPr>
              <w:t xml:space="preserve">2024</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Affordable Housing</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Salt Lake County</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Homeownership</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right"/>
            </w:pPr>
            <w:r>
              <w:rPr>
                <w:rFonts w:ascii="Calibri" w:hAnsi="Calibri"/>
                <w:color w:val="000000"/>
                <w:sz w:val="22"/>
              </w:rPr>
              <w:t xml:space="preserve">CDBG: $204,741</w:t>
            </w:r>
            <w:r>
              <w:rPr>
                <w:rFonts w:ascii="Calibri" w:hAnsi="Calibri"/>
                <w:color w:val="000000"/>
                <w:sz w:val="22"/>
              </w:rPr>
              <w:br/>
              <w:t xml:space="preserve"/>
            </w:r>
            <w:r>
              <w:rPr>
                <w:rFonts w:ascii="Calibri" w:hAnsi="Calibri"/>
                <w:color w:val="000000"/>
                <w:sz w:val="22"/>
              </w:rPr>
              <w:t xml:space="preserve">HOME: $117,000</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Direct Financial Assistance to Homebuyers:</w:t>
            </w:r>
            <w:r>
              <w:rPr>
                <w:rFonts w:ascii="Calibri" w:hAnsi="Calibri"/>
                <w:color w:val="000000"/>
                <w:sz w:val="22"/>
              </w:rPr>
              <w:br/>
              <w:t xml:space="preserve"/>
            </w:r>
            <w:r>
              <w:rPr>
                <w:rFonts w:ascii="Calibri" w:hAnsi="Calibri"/>
                <w:color w:val="000000"/>
                <w:sz w:val="22"/>
              </w:rPr>
              <w:t xml:space="preserve">30 Households Assisted</w:t>
            </w:r>
          </w:p>
        </w:tc>
      </w:tr>
      <w:tr>
        <w:trPr>
          <w:cantSplit w:val="true"/>
        </w:trPr>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b/>
                <w:color w:val="000000"/>
                <w:sz w:val="22"/>
              </w:rPr>
              <w:t xml:space="preserve">5</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Infrastructure</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right"/>
            </w:pPr>
            <w:r>
              <w:rPr>
                <w:rFonts w:ascii="Calibri" w:hAnsi="Calibri"/>
                <w:color w:val="000000"/>
                <w:sz w:val="22"/>
              </w:rPr>
              <w:t xml:space="preserve">2020</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right"/>
            </w:pPr>
            <w:r>
              <w:rPr>
                <w:rFonts w:ascii="Calibri" w:hAnsi="Calibri"/>
                <w:color w:val="000000"/>
                <w:sz w:val="22"/>
              </w:rPr>
              <w:t xml:space="preserve">2024</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Non-Housing Community Development</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Salt Lake County</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Infrastructure</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right"/>
            </w:pPr>
            <w:r>
              <w:rPr>
                <w:rFonts w:ascii="Calibri" w:hAnsi="Calibri"/>
                <w:color w:val="000000"/>
                <w:sz w:val="22"/>
              </w:rPr>
              <w:t xml:space="preserve">CDBG: $755,000</w:t>
            </w:r>
            <w:r>
              <w:rPr>
                <w:rFonts w:ascii="Calibri" w:hAnsi="Calibri"/>
                <w:color w:val="000000"/>
                <w:sz w:val="22"/>
              </w:rPr>
              <w:br/>
              <w:t xml:space="preserve"/>
            </w:r>
            <w:r>
              <w:rPr>
                <w:rFonts w:ascii="Calibri" w:hAnsi="Calibri"/>
                <w:color w:val="000000"/>
                <w:sz w:val="22"/>
              </w:rPr>
              <w:t xml:space="preserve">HOME: $0</w:t>
            </w:r>
            <w:r>
              <w:rPr>
                <w:rFonts w:ascii="Calibri" w:hAnsi="Calibri"/>
                <w:color w:val="000000"/>
                <w:sz w:val="22"/>
              </w:rPr>
              <w:br/>
              <w:t xml:space="preserve"/>
            </w:r>
            <w:r>
              <w:rPr>
                <w:rFonts w:ascii="Calibri" w:hAnsi="Calibri"/>
                <w:color w:val="000000"/>
                <w:sz w:val="22"/>
              </w:rPr>
              <w:t xml:space="preserve">ESG: $0</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Public Facility or Infrastructure Activities for Low/Moderate Income Housing Benefit:</w:t>
            </w:r>
            <w:r>
              <w:rPr>
                <w:rFonts w:ascii="Calibri" w:hAnsi="Calibri"/>
                <w:color w:val="000000"/>
                <w:sz w:val="22"/>
              </w:rPr>
              <w:br/>
              <w:t xml:space="preserve"/>
            </w:r>
            <w:r>
              <w:rPr>
                <w:rFonts w:ascii="Calibri" w:hAnsi="Calibri"/>
                <w:color w:val="000000"/>
                <w:sz w:val="22"/>
              </w:rPr>
              <w:t xml:space="preserve">100 Households Assisted</w:t>
            </w:r>
          </w:p>
        </w:tc>
      </w:tr>
      <w:tr>
        <w:trPr>
          <w:cantSplit w:val="true"/>
        </w:trPr>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b/>
                <w:color w:val="000000"/>
                <w:sz w:val="22"/>
              </w:rPr>
              <w:t xml:space="preserve">6</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Public facilities</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right"/>
            </w:pPr>
            <w:r>
              <w:rPr>
                <w:rFonts w:ascii="Calibri" w:hAnsi="Calibri"/>
                <w:color w:val="000000"/>
                <w:sz w:val="22"/>
              </w:rPr>
              <w:t xml:space="preserve">2020</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right"/>
            </w:pPr>
            <w:r>
              <w:rPr>
                <w:rFonts w:ascii="Calibri" w:hAnsi="Calibri"/>
                <w:color w:val="000000"/>
                <w:sz w:val="22"/>
              </w:rPr>
              <w:t xml:space="preserve">2024</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Non-Housing Community Development</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Salt Lake County</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Public Facilities</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right"/>
            </w:pPr>
            <w:r>
              <w:rPr>
                <w:rFonts w:ascii="Calibri" w:hAnsi="Calibri"/>
                <w:color w:val="000000"/>
                <w:sz w:val="22"/>
              </w:rPr>
              <w:t xml:space="preserve">CDBG: $465,259</w:t>
            </w:r>
            <w:r>
              <w:rPr>
                <w:rFonts w:ascii="Calibri" w:hAnsi="Calibri"/>
                <w:color w:val="000000"/>
                <w:sz w:val="22"/>
              </w:rPr>
              <w:br/>
              <w:t xml:space="preserve"/>
            </w:r>
            <w:r>
              <w:rPr>
                <w:rFonts w:ascii="Calibri" w:hAnsi="Calibri"/>
                <w:color w:val="000000"/>
                <w:sz w:val="22"/>
              </w:rPr>
              <w:t xml:space="preserve">HOME: $0</w:t>
            </w:r>
            <w:r>
              <w:rPr>
                <w:rFonts w:ascii="Calibri" w:hAnsi="Calibri"/>
                <w:color w:val="000000"/>
                <w:sz w:val="22"/>
              </w:rPr>
              <w:br/>
              <w:t xml:space="preserve"/>
            </w:r>
            <w:r>
              <w:rPr>
                <w:rFonts w:ascii="Calibri" w:hAnsi="Calibri"/>
                <w:color w:val="000000"/>
                <w:sz w:val="22"/>
              </w:rPr>
              <w:t xml:space="preserve">ESG: $0</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Public Facility or Infrastructure Activities for Low/Moderate Income Housing Benefit:</w:t>
            </w:r>
            <w:r>
              <w:rPr>
                <w:rFonts w:ascii="Calibri" w:hAnsi="Calibri"/>
                <w:color w:val="000000"/>
                <w:sz w:val="22"/>
              </w:rPr>
              <w:br/>
              <w:t xml:space="preserve"/>
            </w:r>
            <w:r>
              <w:rPr>
                <w:rFonts w:ascii="Calibri" w:hAnsi="Calibri"/>
                <w:color w:val="000000"/>
                <w:sz w:val="22"/>
              </w:rPr>
              <w:t xml:space="preserve">2 Households Assisted</w:t>
            </w:r>
          </w:p>
        </w:tc>
      </w:tr>
      <w:tr>
        <w:trPr>
          <w:cantSplit w:val="true"/>
        </w:trPr>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b/>
                <w:color w:val="000000"/>
                <w:sz w:val="22"/>
              </w:rPr>
              <w:t xml:space="preserve">7</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Access to crisis assistance</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right"/>
            </w:pPr>
            <w:r>
              <w:rPr>
                <w:rFonts w:ascii="Calibri" w:hAnsi="Calibri"/>
                <w:color w:val="000000"/>
                <w:sz w:val="22"/>
              </w:rPr>
              <w:t xml:space="preserve">2020</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right"/>
            </w:pPr>
            <w:r>
              <w:rPr>
                <w:rFonts w:ascii="Calibri" w:hAnsi="Calibri"/>
                <w:color w:val="000000"/>
                <w:sz w:val="22"/>
              </w:rPr>
              <w:t xml:space="preserve">2024</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Affordable Housing</w:t>
            </w:r>
            <w:r>
              <w:rPr>
                <w:rFonts w:ascii="Calibri" w:hAnsi="Calibri"/>
                <w:color w:val="000000"/>
                <w:sz w:val="22"/>
              </w:rPr>
              <w:br/>
              <w:t xml:space="preserve"/>
            </w:r>
            <w:r>
              <w:rPr>
                <w:rFonts w:ascii="Calibri" w:hAnsi="Calibri"/>
                <w:color w:val="000000"/>
                <w:sz w:val="22"/>
              </w:rPr>
              <w:t xml:space="preserve">Homeless</w:t>
            </w:r>
            <w:r>
              <w:rPr>
                <w:rFonts w:ascii="Calibri" w:hAnsi="Calibri"/>
                <w:color w:val="000000"/>
                <w:sz w:val="22"/>
              </w:rPr>
              <w:br/>
              <w:t xml:space="preserve"/>
            </w:r>
            <w:r>
              <w:rPr>
                <w:rFonts w:ascii="Calibri" w:hAnsi="Calibri"/>
                <w:color w:val="000000"/>
                <w:sz w:val="22"/>
              </w:rPr>
              <w:t xml:space="preserve">Non-Homeless Special Needs</w:t>
            </w:r>
            <w:r>
              <w:rPr>
                <w:rFonts w:ascii="Calibri" w:hAnsi="Calibri"/>
                <w:color w:val="000000"/>
                <w:sz w:val="22"/>
              </w:rPr>
              <w:br/>
              <w:t xml:space="preserve"/>
            </w:r>
            <w:r>
              <w:rPr>
                <w:rFonts w:ascii="Calibri" w:hAnsi="Calibri"/>
                <w:color w:val="000000"/>
                <w:sz w:val="22"/>
              </w:rPr>
              <w:t xml:space="preserve">Non-Housing Community Development</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Salt Lake County</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Access to crisis assistance</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right"/>
            </w:pPr>
            <w:r>
              <w:rPr>
                <w:rFonts w:ascii="Calibri" w:hAnsi="Calibri"/>
                <w:color w:val="000000"/>
                <w:sz w:val="22"/>
              </w:rPr>
              <w:t xml:space="preserve">CDBG: $379,076</w:t>
            </w:r>
            <w:r>
              <w:rPr>
                <w:rFonts w:ascii="Calibri" w:hAnsi="Calibri"/>
                <w:color w:val="000000"/>
                <w:sz w:val="22"/>
              </w:rPr>
              <w:br/>
              <w:t xml:space="preserve"/>
            </w:r>
            <w:r>
              <w:rPr>
                <w:rFonts w:ascii="Calibri" w:hAnsi="Calibri"/>
                <w:color w:val="000000"/>
                <w:sz w:val="22"/>
              </w:rPr>
              <w:t xml:space="preserve">ESG: $217,817</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Public service activities for Low/Moderate Income Housing Benefit:</w:t>
            </w:r>
            <w:r>
              <w:rPr>
                <w:rFonts w:ascii="Calibri" w:hAnsi="Calibri"/>
                <w:color w:val="000000"/>
                <w:sz w:val="22"/>
              </w:rPr>
              <w:br/>
              <w:t xml:space="preserve"/>
            </w:r>
            <w:r>
              <w:rPr>
                <w:rFonts w:ascii="Calibri" w:hAnsi="Calibri"/>
                <w:color w:val="000000"/>
                <w:sz w:val="22"/>
              </w:rPr>
              <w:t xml:space="preserve">100 Households Assisted</w:t>
            </w:r>
          </w:p>
        </w:tc>
      </w:tr>
      <w:tr>
        <w:trPr>
          <w:cantSplit w:val="true"/>
        </w:trPr>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b/>
                <w:color w:val="000000"/>
                <w:sz w:val="22"/>
              </w:rPr>
              <w:t xml:space="preserve">8</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Stability and safety</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right"/>
            </w:pPr>
            <w:r>
              <w:rPr>
                <w:rFonts w:ascii="Calibri" w:hAnsi="Calibri"/>
                <w:color w:val="000000"/>
                <w:sz w:val="22"/>
              </w:rPr>
              <w:t xml:space="preserve">2020</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right"/>
            </w:pPr>
            <w:r>
              <w:rPr>
                <w:rFonts w:ascii="Calibri" w:hAnsi="Calibri"/>
                <w:color w:val="000000"/>
                <w:sz w:val="22"/>
              </w:rPr>
              <w:t xml:space="preserve">2024</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Affordable Housing</w:t>
            </w:r>
            <w:r>
              <w:rPr>
                <w:rFonts w:ascii="Calibri" w:hAnsi="Calibri"/>
                <w:color w:val="000000"/>
                <w:sz w:val="22"/>
              </w:rPr>
              <w:br/>
              <w:t xml:space="preserve"/>
            </w:r>
            <w:r>
              <w:rPr>
                <w:rFonts w:ascii="Calibri" w:hAnsi="Calibri"/>
                <w:color w:val="000000"/>
                <w:sz w:val="22"/>
              </w:rPr>
              <w:t xml:space="preserve">Homeless</w:t>
            </w:r>
            <w:r>
              <w:rPr>
                <w:rFonts w:ascii="Calibri" w:hAnsi="Calibri"/>
                <w:color w:val="000000"/>
                <w:sz w:val="22"/>
              </w:rPr>
              <w:br/>
              <w:t xml:space="preserve"/>
            </w:r>
            <w:r>
              <w:rPr>
                <w:rFonts w:ascii="Calibri" w:hAnsi="Calibri"/>
                <w:color w:val="000000"/>
                <w:sz w:val="22"/>
              </w:rPr>
              <w:t xml:space="preserve">Non-Homeless Special Needs</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Salt Lake County</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Stability and Safety</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right"/>
            </w:pPr>
            <w:r>
              <w:rPr>
                <w:rFonts w:ascii="Calibri" w:hAnsi="Calibri"/>
                <w:color w:val="000000"/>
                <w:sz w:val="22"/>
              </w:rPr>
              <w:t xml:space="preserve">CDBG: $0</w:t>
            </w:r>
            <w:r>
              <w:rPr>
                <w:rFonts w:ascii="Calibri" w:hAnsi="Calibri"/>
                <w:color w:val="000000"/>
                <w:sz w:val="22"/>
              </w:rPr>
              <w:br/>
              <w:t xml:space="preserve"/>
            </w:r>
            <w:r>
              <w:rPr>
                <w:rFonts w:ascii="Calibri" w:hAnsi="Calibri"/>
                <w:color w:val="000000"/>
                <w:sz w:val="22"/>
              </w:rPr>
              <w:t xml:space="preserve">HOME: $0</w:t>
            </w:r>
            <w:r>
              <w:rPr>
                <w:rFonts w:ascii="Calibri" w:hAnsi="Calibri"/>
                <w:color w:val="000000"/>
                <w:sz w:val="22"/>
              </w:rPr>
              <w:br/>
              <w:t xml:space="preserve"/>
            </w:r>
            <w:r>
              <w:rPr>
                <w:rFonts w:ascii="Calibri" w:hAnsi="Calibri"/>
                <w:color w:val="000000"/>
                <w:sz w:val="22"/>
              </w:rPr>
              <w:t xml:space="preserve">ESG: $0</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Public service activities other than Low/Moderate Income Housing Benefit:</w:t>
            </w:r>
            <w:r>
              <w:rPr>
                <w:rFonts w:ascii="Calibri" w:hAnsi="Calibri"/>
                <w:color w:val="000000"/>
                <w:sz w:val="22"/>
              </w:rPr>
              <w:br/>
              <w:t xml:space="preserve"/>
            </w:r>
            <w:r>
              <w:rPr>
                <w:rFonts w:ascii="Calibri" w:hAnsi="Calibri"/>
                <w:color w:val="000000"/>
                <w:sz w:val="22"/>
              </w:rPr>
              <w:t xml:space="preserve">0 Persons Assisted</w:t>
            </w:r>
            <w:r>
              <w:rPr>
                <w:rFonts w:ascii="Calibri" w:hAnsi="Calibri"/>
                <w:color w:val="000000"/>
                <w:sz w:val="22"/>
              </w:rPr>
              <w:br/>
              <w:t xml:space="preserve"/>
            </w:r>
            <w:r>
              <w:rPr>
                <w:rFonts w:ascii="Calibri" w:hAnsi="Calibri"/>
                <w:color w:val="000000"/>
                <w:sz w:val="22"/>
              </w:rPr>
              <w:t xml:space="preserve"> </w:t>
            </w:r>
            <w:r>
              <w:rPr>
                <w:rFonts w:ascii="Calibri" w:hAnsi="Calibri"/>
                <w:color w:val="000000"/>
                <w:sz w:val="22"/>
              </w:rPr>
              <w:br/>
              <w:t xml:space="preserve"/>
            </w:r>
            <w:r>
              <w:rPr>
                <w:rFonts w:ascii="Calibri" w:hAnsi="Calibri"/>
                <w:color w:val="000000"/>
                <w:sz w:val="22"/>
              </w:rPr>
              <w:t xml:space="preserve">Public service activities for Low/Moderate Income Housing Benefit:</w:t>
            </w:r>
            <w:r>
              <w:rPr>
                <w:rFonts w:ascii="Calibri" w:hAnsi="Calibri"/>
                <w:color w:val="000000"/>
                <w:sz w:val="22"/>
              </w:rPr>
              <w:br/>
              <w:t xml:space="preserve"/>
            </w:r>
            <w:r>
              <w:rPr>
                <w:rFonts w:ascii="Calibri" w:hAnsi="Calibri"/>
                <w:color w:val="000000"/>
                <w:sz w:val="22"/>
              </w:rPr>
              <w:t xml:space="preserve">0 Households Assisted</w:t>
            </w:r>
          </w:p>
        </w:tc>
      </w:tr>
      <w:tr>
        <w:trPr>
          <w:cantSplit w:val="true"/>
        </w:trPr>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b/>
                <w:color w:val="000000"/>
                <w:sz w:val="22"/>
              </w:rPr>
              <w:t xml:space="preserve">9</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Economic stability</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right"/>
            </w:pPr>
            <w:r>
              <w:rPr>
                <w:rFonts w:ascii="Calibri" w:hAnsi="Calibri"/>
                <w:color w:val="000000"/>
                <w:sz w:val="22"/>
              </w:rPr>
              <w:t xml:space="preserve">2020</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right"/>
            </w:pPr>
            <w:r>
              <w:rPr>
                <w:rFonts w:ascii="Calibri" w:hAnsi="Calibri"/>
                <w:color w:val="000000"/>
                <w:sz w:val="22"/>
              </w:rPr>
              <w:t xml:space="preserve">2024</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Affordable Housing</w:t>
            </w:r>
            <w:r>
              <w:rPr>
                <w:rFonts w:ascii="Calibri" w:hAnsi="Calibri"/>
                <w:color w:val="000000"/>
                <w:sz w:val="22"/>
              </w:rPr>
              <w:br/>
              <w:t xml:space="preserve"/>
            </w:r>
            <w:r>
              <w:rPr>
                <w:rFonts w:ascii="Calibri" w:hAnsi="Calibri"/>
                <w:color w:val="000000"/>
                <w:sz w:val="22"/>
              </w:rPr>
              <w:t xml:space="preserve">Homeless</w:t>
            </w:r>
            <w:r>
              <w:rPr>
                <w:rFonts w:ascii="Calibri" w:hAnsi="Calibri"/>
                <w:color w:val="000000"/>
                <w:sz w:val="22"/>
              </w:rPr>
              <w:br/>
              <w:t xml:space="preserve"/>
            </w:r>
            <w:r>
              <w:rPr>
                <w:rFonts w:ascii="Calibri" w:hAnsi="Calibri"/>
                <w:color w:val="000000"/>
                <w:sz w:val="22"/>
              </w:rPr>
              <w:t xml:space="preserve">Non-Homeless Special Needs</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Salt Lake County</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Economic  Stability</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right"/>
            </w:pPr>
            <w:r>
              <w:rPr>
                <w:rFonts w:ascii="Calibri" w:hAnsi="Calibri"/>
                <w:color w:val="000000"/>
                <w:sz w:val="22"/>
              </w:rPr>
              <w:t xml:space="preserve">CDBG: $0</w:t>
            </w:r>
            <w:r>
              <w:rPr>
                <w:rFonts w:ascii="Calibri" w:hAnsi="Calibri"/>
                <w:color w:val="000000"/>
                <w:sz w:val="22"/>
              </w:rPr>
              <w:br/>
              <w:t xml:space="preserve"/>
            </w:r>
            <w:r>
              <w:rPr>
                <w:rFonts w:ascii="Calibri" w:hAnsi="Calibri"/>
                <w:color w:val="000000"/>
                <w:sz w:val="22"/>
              </w:rPr>
              <w:t xml:space="preserve">ESG: $0</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Jobs created/retained:</w:t>
            </w:r>
            <w:r>
              <w:rPr>
                <w:rFonts w:ascii="Calibri" w:hAnsi="Calibri"/>
                <w:color w:val="000000"/>
                <w:sz w:val="22"/>
              </w:rPr>
              <w:br/>
              <w:t xml:space="preserve"/>
            </w:r>
            <w:r>
              <w:rPr>
                <w:rFonts w:ascii="Calibri" w:hAnsi="Calibri"/>
                <w:color w:val="000000"/>
                <w:sz w:val="22"/>
              </w:rPr>
              <w:t xml:space="preserve">0 Jobs</w:t>
            </w:r>
            <w:r>
              <w:rPr>
                <w:rFonts w:ascii="Calibri" w:hAnsi="Calibri"/>
                <w:color w:val="000000"/>
                <w:sz w:val="22"/>
              </w:rPr>
              <w:br/>
              <w:t xml:space="preserve"/>
            </w:r>
            <w:r>
              <w:rPr>
                <w:rFonts w:ascii="Calibri" w:hAnsi="Calibri"/>
                <w:color w:val="000000"/>
                <w:sz w:val="22"/>
              </w:rPr>
              <w:t xml:space="preserve"> </w:t>
            </w:r>
            <w:r>
              <w:rPr>
                <w:rFonts w:ascii="Calibri" w:hAnsi="Calibri"/>
                <w:color w:val="000000"/>
                <w:sz w:val="22"/>
              </w:rPr>
              <w:br/>
              <w:t xml:space="preserve"/>
            </w:r>
            <w:r>
              <w:rPr>
                <w:rFonts w:ascii="Calibri" w:hAnsi="Calibri"/>
                <w:color w:val="000000"/>
                <w:sz w:val="22"/>
              </w:rPr>
              <w:t xml:space="preserve">Businesses assisted:</w:t>
            </w:r>
            <w:r>
              <w:rPr>
                <w:rFonts w:ascii="Calibri" w:hAnsi="Calibri"/>
                <w:color w:val="000000"/>
                <w:sz w:val="22"/>
              </w:rPr>
              <w:br/>
              <w:t xml:space="preserve"/>
            </w:r>
            <w:r>
              <w:rPr>
                <w:rFonts w:ascii="Calibri" w:hAnsi="Calibri"/>
                <w:color w:val="000000"/>
                <w:sz w:val="22"/>
              </w:rPr>
              <w:t xml:space="preserve">10 Businesses Assisted</w:t>
            </w:r>
          </w:p>
        </w:tc>
      </w:tr>
      <w:tr>
        <w:trPr>
          <w:cantSplit w:val="true"/>
        </w:trPr>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b/>
                <w:color w:val="000000"/>
                <w:sz w:val="22"/>
              </w:rPr>
              <w:t xml:space="preserve">10</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Administration of HOME, ESG and CDBG</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right"/>
            </w:pPr>
            <w:r>
              <w:rPr>
                <w:rFonts w:ascii="Calibri" w:hAnsi="Calibri"/>
                <w:color w:val="000000"/>
                <w:sz w:val="22"/>
              </w:rPr>
              <w:t xml:space="preserve">2020</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right"/>
            </w:pPr>
            <w:r>
              <w:rPr>
                <w:rFonts w:ascii="Calibri" w:hAnsi="Calibri"/>
                <w:color w:val="000000"/>
                <w:sz w:val="22"/>
              </w:rPr>
              <w:t xml:space="preserve">2024</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Affordable Housing</w:t>
            </w:r>
            <w:r>
              <w:rPr>
                <w:rFonts w:ascii="Calibri" w:hAnsi="Calibri"/>
                <w:color w:val="000000"/>
                <w:sz w:val="22"/>
              </w:rPr>
              <w:br/>
              <w:t xml:space="preserve"/>
            </w:r>
            <w:r>
              <w:rPr>
                <w:rFonts w:ascii="Calibri" w:hAnsi="Calibri"/>
                <w:color w:val="000000"/>
                <w:sz w:val="22"/>
              </w:rPr>
              <w:t xml:space="preserve">Homeless</w:t>
            </w:r>
            <w:r>
              <w:rPr>
                <w:rFonts w:ascii="Calibri" w:hAnsi="Calibri"/>
                <w:color w:val="000000"/>
                <w:sz w:val="22"/>
              </w:rPr>
              <w:br/>
              <w:t xml:space="preserve"/>
            </w:r>
            <w:r>
              <w:rPr>
                <w:rFonts w:ascii="Calibri" w:hAnsi="Calibri"/>
                <w:color w:val="000000"/>
                <w:sz w:val="22"/>
              </w:rPr>
              <w:t xml:space="preserve">Non-Homeless Special Needs</w:t>
            </w:r>
            <w:r>
              <w:rPr>
                <w:rFonts w:ascii="Calibri" w:hAnsi="Calibri"/>
                <w:color w:val="000000"/>
                <w:sz w:val="22"/>
              </w:rPr>
              <w:br/>
              <w:t xml:space="preserve"/>
            </w:r>
            <w:r>
              <w:rPr>
                <w:rFonts w:ascii="Calibri" w:hAnsi="Calibri"/>
                <w:color w:val="000000"/>
                <w:sz w:val="22"/>
              </w:rPr>
              <w:t xml:space="preserve">Non-Housing Community Development</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Salt Lake County</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Rental Housing</w:t>
            </w:r>
            <w:r>
              <w:rPr>
                <w:rFonts w:ascii="Calibri" w:hAnsi="Calibri"/>
                <w:color w:val="000000"/>
                <w:sz w:val="22"/>
              </w:rPr>
              <w:br/>
              <w:t xml:space="preserve"/>
            </w:r>
            <w:r>
              <w:rPr>
                <w:rFonts w:ascii="Calibri" w:hAnsi="Calibri"/>
                <w:color w:val="000000"/>
                <w:sz w:val="22"/>
              </w:rPr>
              <w:t xml:space="preserve">Economic  Stability</w:t>
            </w:r>
            <w:r>
              <w:rPr>
                <w:rFonts w:ascii="Calibri" w:hAnsi="Calibri"/>
                <w:color w:val="000000"/>
                <w:sz w:val="22"/>
              </w:rPr>
              <w:br/>
              <w:t xml:space="preserve"/>
            </w:r>
            <w:r>
              <w:rPr>
                <w:rFonts w:ascii="Calibri" w:hAnsi="Calibri"/>
                <w:color w:val="000000"/>
                <w:sz w:val="22"/>
              </w:rPr>
              <w:t xml:space="preserve">Homeownership</w:t>
            </w:r>
            <w:r>
              <w:rPr>
                <w:rFonts w:ascii="Calibri" w:hAnsi="Calibri"/>
                <w:color w:val="000000"/>
                <w:sz w:val="22"/>
              </w:rPr>
              <w:br/>
              <w:t xml:space="preserve"/>
            </w:r>
            <w:r>
              <w:rPr>
                <w:rFonts w:ascii="Calibri" w:hAnsi="Calibri"/>
                <w:color w:val="000000"/>
                <w:sz w:val="22"/>
              </w:rPr>
              <w:t xml:space="preserve">Rental assistance</w:t>
            </w:r>
            <w:r>
              <w:rPr>
                <w:rFonts w:ascii="Calibri" w:hAnsi="Calibri"/>
                <w:color w:val="000000"/>
                <w:sz w:val="22"/>
              </w:rPr>
              <w:br/>
              <w:t xml:space="preserve"/>
            </w:r>
            <w:r>
              <w:rPr>
                <w:rFonts w:ascii="Calibri" w:hAnsi="Calibri"/>
                <w:color w:val="000000"/>
                <w:sz w:val="22"/>
              </w:rPr>
              <w:t xml:space="preserve">Housing Rehabilitation</w:t>
            </w:r>
            <w:r>
              <w:rPr>
                <w:rFonts w:ascii="Calibri" w:hAnsi="Calibri"/>
                <w:color w:val="000000"/>
                <w:sz w:val="22"/>
              </w:rPr>
              <w:br/>
              <w:t xml:space="preserve"/>
            </w:r>
            <w:r>
              <w:rPr>
                <w:rFonts w:ascii="Calibri" w:hAnsi="Calibri"/>
                <w:color w:val="000000"/>
                <w:sz w:val="22"/>
              </w:rPr>
              <w:t xml:space="preserve">Infrastructure</w:t>
            </w:r>
            <w:r>
              <w:rPr>
                <w:rFonts w:ascii="Calibri" w:hAnsi="Calibri"/>
                <w:color w:val="000000"/>
                <w:sz w:val="22"/>
              </w:rPr>
              <w:br/>
              <w:t xml:space="preserve"/>
            </w:r>
            <w:r>
              <w:rPr>
                <w:rFonts w:ascii="Calibri" w:hAnsi="Calibri"/>
                <w:color w:val="000000"/>
                <w:sz w:val="22"/>
              </w:rPr>
              <w:t xml:space="preserve">Access to crisis assistance</w:t>
            </w:r>
            <w:r>
              <w:rPr>
                <w:rFonts w:ascii="Calibri" w:hAnsi="Calibri"/>
                <w:color w:val="000000"/>
                <w:sz w:val="22"/>
              </w:rPr>
              <w:br/>
              <w:t xml:space="preserve"/>
            </w:r>
            <w:r>
              <w:rPr>
                <w:rFonts w:ascii="Calibri" w:hAnsi="Calibri"/>
                <w:color w:val="000000"/>
                <w:sz w:val="22"/>
              </w:rPr>
              <w:t xml:space="preserve">Public Facilities</w:t>
            </w:r>
            <w:r>
              <w:rPr>
                <w:rFonts w:ascii="Calibri" w:hAnsi="Calibri"/>
                <w:color w:val="000000"/>
                <w:sz w:val="22"/>
              </w:rPr>
              <w:br/>
              <w:t xml:space="preserve"/>
            </w:r>
            <w:r>
              <w:rPr>
                <w:rFonts w:ascii="Calibri" w:hAnsi="Calibri"/>
                <w:color w:val="000000"/>
                <w:sz w:val="22"/>
              </w:rPr>
              <w:t xml:space="preserve">Stability and Safety</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right"/>
            </w:pPr>
            <w:r>
              <w:rPr>
                <w:rFonts w:ascii="Calibri" w:hAnsi="Calibri"/>
                <w:color w:val="000000"/>
                <w:sz w:val="22"/>
              </w:rPr>
              <w:t xml:space="preserve">CDBG: $505,714</w:t>
            </w:r>
            <w:r>
              <w:rPr>
                <w:rFonts w:ascii="Calibri" w:hAnsi="Calibri"/>
                <w:color w:val="000000"/>
                <w:sz w:val="22"/>
              </w:rPr>
              <w:br/>
              <w:t xml:space="preserve"/>
            </w:r>
            <w:r>
              <w:rPr>
                <w:rFonts w:ascii="Calibri" w:hAnsi="Calibri"/>
                <w:color w:val="000000"/>
                <w:sz w:val="22"/>
              </w:rPr>
              <w:t xml:space="preserve">HOME: $375,059</w:t>
            </w:r>
          </w:p>
        </w:tc>
        <w:tc>
          <w:tcPr>
            <w:tcBorders>
              <w:top w:val="single" w:color="auto" w:sz="4" w:space="0"/>
              <w:left w:val="single" w:color="auto" w:sz="4" w:space="0"/>
              <w:bottom w:val="single" w:color="auto" w:sz="4" w:space="0"/>
              <w:right w:val="single" w:color="auto" w:sz="4" w:space="0"/>
            </w:tcBorders>
            <w:vAlign w:val="top"/>
          </w:tcPr>
          <w:p>
            <w:pPr>
              <w:spacing w:beforeAutospacing="true" w:afterAutospacing="true"/>
              <w:jc w:val="left"/>
            </w:pPr>
            <w:r>
              <w:rPr>
                <w:rFonts w:ascii="Calibri" w:hAnsi="Calibri"/>
                <w:color w:val="000000"/>
                <w:sz w:val="22"/>
              </w:rPr>
              <w:t xml:space="preserve">Public Facility or Infrastructure Activities other than Low/Moderate Income Housing Benefit:</w:t>
            </w:r>
            <w:r>
              <w:rPr>
                <w:rFonts w:ascii="Calibri" w:hAnsi="Calibri"/>
                <w:color w:val="000000"/>
                <w:sz w:val="22"/>
              </w:rPr>
              <w:br/>
              <w:t xml:space="preserve"/>
            </w:r>
            <w:r>
              <w:rPr>
                <w:rFonts w:ascii="Calibri" w:hAnsi="Calibri"/>
                <w:color w:val="000000"/>
                <w:sz w:val="22"/>
              </w:rPr>
              <w:t xml:space="preserve">1 Persons Assisted</w:t>
            </w:r>
            <w:r>
              <w:rPr>
                <w:rFonts w:ascii="Calibri" w:hAnsi="Calibri"/>
                <w:color w:val="000000"/>
                <w:sz w:val="22"/>
              </w:rPr>
              <w:br/>
              <w:t xml:space="preserve"/>
            </w:r>
            <w:r>
              <w:rPr>
                <w:rFonts w:ascii="Calibri" w:hAnsi="Calibri"/>
                <w:color w:val="000000"/>
                <w:sz w:val="22"/>
              </w:rPr>
              <w:t xml:space="preserve"> </w:t>
            </w:r>
            <w:r>
              <w:rPr>
                <w:rFonts w:ascii="Calibri" w:hAnsi="Calibri"/>
                <w:color w:val="000000"/>
                <w:sz w:val="22"/>
              </w:rPr>
              <w:br/>
              <w:t xml:space="preserve"/>
            </w:r>
            <w:r>
              <w:rPr>
                <w:rFonts w:ascii="Calibri" w:hAnsi="Calibri"/>
                <w:color w:val="000000"/>
                <w:sz w:val="22"/>
              </w:rPr>
              <w:t xml:space="preserve">Public Facility or Infrastructure Activities for Low/Moderate Income Housing Benefit:</w:t>
            </w:r>
            <w:r>
              <w:rPr>
                <w:rFonts w:ascii="Calibri" w:hAnsi="Calibri"/>
                <w:color w:val="000000"/>
                <w:sz w:val="22"/>
              </w:rPr>
              <w:br/>
              <w:t xml:space="preserve"/>
            </w:r>
            <w:r>
              <w:rPr>
                <w:rFonts w:ascii="Calibri" w:hAnsi="Calibri"/>
                <w:color w:val="000000"/>
                <w:sz w:val="22"/>
              </w:rPr>
              <w:t xml:space="preserve">1 Households Assisted</w:t>
            </w:r>
            <w:r>
              <w:rPr>
                <w:rFonts w:ascii="Calibri" w:hAnsi="Calibri"/>
                <w:color w:val="000000"/>
                <w:sz w:val="22"/>
              </w:rPr>
              <w:br/>
              <w:t xml:space="preserve"/>
            </w:r>
            <w:r>
              <w:rPr>
                <w:rFonts w:ascii="Calibri" w:hAnsi="Calibri"/>
                <w:color w:val="000000"/>
                <w:sz w:val="22"/>
              </w:rPr>
              <w:t xml:space="preserve"> </w:t>
            </w:r>
            <w:r>
              <w:rPr>
                <w:rFonts w:ascii="Calibri" w:hAnsi="Calibri"/>
                <w:color w:val="000000"/>
                <w:sz w:val="22"/>
              </w:rPr>
              <w:br/>
              <w:t xml:space="preserve"/>
            </w:r>
            <w:r>
              <w:rPr>
                <w:rFonts w:ascii="Calibri" w:hAnsi="Calibri"/>
                <w:color w:val="000000"/>
                <w:sz w:val="22"/>
              </w:rPr>
              <w:t xml:space="preserve">Other:</w:t>
            </w:r>
            <w:r>
              <w:rPr>
                <w:rFonts w:ascii="Calibri" w:hAnsi="Calibri"/>
                <w:color w:val="000000"/>
                <w:sz w:val="22"/>
              </w:rPr>
              <w:br/>
              <w:t xml:space="preserve"/>
            </w:r>
            <w:r>
              <w:rPr>
                <w:rFonts w:ascii="Calibri" w:hAnsi="Calibri"/>
                <w:color w:val="000000"/>
                <w:sz w:val="22"/>
              </w:rPr>
              <w:t xml:space="preserve">1 Other</w:t>
            </w:r>
          </w:p>
        </w:tc>
      </w:tr>
    </w:tbl>
    <w:p>
      <w:pPr>
        <w:pStyle w:val="Caption"/>
        <w:jc w:val="center"/>
        <w:rPr>
          <w:rFonts w:asciiTheme="minorHAnsi" w:hAnsiTheme="minorHAnsi"/>
        </w:rPr>
      </w:pPr>
      <w:r>
        <w:rPr>
          <w:rFonts w:asciiTheme="minorHAnsi" w:hAnsiTheme="minorHAnsi"/>
        </w:rPr>
        <w:t xml:space="preserve">Table </w:t>
        <w:fldChar w:fldCharType="begin"/>
        <w:instrText xml:space="preserve"> SEQ Table \* ARABIC </w:instrText>
        <w:fldChar w:fldCharType="separate"/>
        <w:t>23</w:t>
        <w:fldChar w:fldCharType="end"/>
        <w:t xml:space="preserve"> – Goals Summary</w:t>
      </w:r>
    </w:p>
    <w:p>
      <w:pPr>
        <w:rPr>
          <w:b/>
          <w:sz w:val="24"/>
          <w:szCs w:val="24"/>
        </w:rPr>
      </w:pPr>
    </w:p>
    <w:p>
      <w:pPr>
        <w:rPr>
          <w:b/>
          <w:sz w:val="24"/>
          <w:szCs w:val="24"/>
        </w:rPr>
      </w:pPr>
      <w:r>
        <w:rPr>
          <w:b/>
          <w:sz w:val="24"/>
          <w:szCs w:val="24"/>
        </w:rPr>
        <w:t>Goal Descriptions</w:t>
      </w:r>
    </w:p>
    <w:p>
      <w:pPr>
        <w:rPr>
          <w:b/>
          <w:sz w:val="24"/>
          <w:szCs w:val="24"/>
        </w:rPr>
      </w:pPr>
    </w:p>
    <w:tbl>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Pr>
      <w:tblGrid/>
      <w:tr>
        <w:trPr>
          <w:cantSplit w:val="true"/>
        </w:trPr>
        <w:tc>
          <w:tcPr>
            <w:vMerge w:val="restart"/>
          </w:tcPr>
          <w:p>
            <w:pPr>
              <w:keepNext w:val="true"/>
              <w:spacing w:before="100" w:after="0"/>
            </w:pPr>
            <w:r>
              <w:rPr>
                <w:rFonts w:ascii="Calibri" w:hAnsi="Calibri"/>
                <w:b/>
                <w:color w:val="000000"/>
                <w:sz w:val="22"/>
              </w:rPr>
              <w:t xml:space="preserve">1</w:t>
            </w:r>
          </w:p>
        </w:tc>
        <w:tc>
          <w:p>
            <w:pPr>
              <w:keepNext w:val="true"/>
              <w:spacing w:before="100" w:after="0"/>
              <w:rPr>
                <w:b/>
              </w:rPr>
            </w:pPr>
            <w:r>
              <w:rPr>
                <w:b/>
              </w:rPr>
              <w:t>Goal Name</w:t>
            </w:r>
          </w:p>
        </w:tc>
        <w:tc>
          <w:p>
            <w:pPr>
              <w:spacing w:before="100" w:after="0"/>
            </w:pPr>
            <w:r>
              <w:rPr>
                <w:rFonts w:ascii="Calibri" w:hAnsi="Calibri"/>
                <w:color w:val="000000"/>
                <w:sz w:val="22"/>
              </w:rPr>
              <w:t xml:space="preserve">Housing Rehabilitation &amp; Accessibility</w:t>
            </w:r>
          </w:p>
        </w:tc>
      </w:tr>
      <w:tr>
        <w:trPr>
          <w:cantSplit w:val="true"/>
        </w:trPr>
        <w:tc>
          <w:tcPr>
            <w:vMerge/>
          </w:tcPr>
          <w:p/>
        </w:tc>
        <w:tc>
          <w:p>
            <w:pPr>
              <w:keepNext w:val="true"/>
              <w:spacing w:before="100" w:after="0"/>
              <w:rPr>
                <w:b/>
              </w:rPr>
            </w:pPr>
            <w:r>
              <w:rPr>
                <w:b/>
              </w:rPr>
              <w:t>Goal Description</w:t>
            </w:r>
          </w:p>
        </w:tc>
        <w:tc>
          <w:p>
            <w:pPr>
              <w:spacing w:before="100" w:after="0"/>
            </w:pPr>
            <w:r>
              <w:rPr>
                <w:rFonts w:ascii="Calibri" w:hAnsi="Calibri"/>
                <w:color w:val="000000"/>
                <w:sz w:val="22"/>
              </w:rPr>
              <w:t xml:space="preserve">Over the next five years 1,250 households will receive assistance. Funding will be provided </w:t>
            </w:r>
            <w:r>
              <w:rPr>
                <w:rFonts w:ascii="Calibri" w:hAnsi="Calibri"/>
                <w:color w:val="000000"/>
                <w:sz w:val="22"/>
              </w:rPr>
              <w:t xml:space="preserve">to cover the cost of renovation, rehabilitation to improve the existing housing stock and retrofitting housing units to make them more accessible.  The program will include the Green &amp; Healthy Homes Initiative and the Lead Safe Housing partnership which provides nieghborhood revitalization and healthy communities by making the homes more energy efficient and eliminates health hazards for families.</w:t>
            </w:r>
          </w:p>
        </w:tc>
      </w:tr>
      <w:tr>
        <w:trPr>
          <w:cantSplit w:val="true"/>
        </w:trPr>
        <w:tc>
          <w:tcPr>
            <w:vMerge w:val="restart"/>
          </w:tcPr>
          <w:p>
            <w:pPr>
              <w:keepNext w:val="true"/>
              <w:spacing w:before="100" w:after="0"/>
            </w:pPr>
            <w:r>
              <w:rPr>
                <w:rFonts w:ascii="Calibri" w:hAnsi="Calibri"/>
                <w:b/>
                <w:color w:val="000000"/>
                <w:sz w:val="22"/>
              </w:rPr>
              <w:t xml:space="preserve">2</w:t>
            </w:r>
          </w:p>
        </w:tc>
        <w:tc>
          <w:p>
            <w:pPr>
              <w:keepNext w:val="true"/>
              <w:spacing w:before="100" w:after="0"/>
              <w:rPr>
                <w:b/>
              </w:rPr>
            </w:pPr>
            <w:r>
              <w:rPr>
                <w:b/>
              </w:rPr>
              <w:t>Goal Name</w:t>
            </w:r>
          </w:p>
        </w:tc>
        <w:tc>
          <w:p>
            <w:pPr>
              <w:spacing w:before="100" w:after="0"/>
            </w:pPr>
            <w:r>
              <w:rPr>
                <w:rFonts w:ascii="Calibri" w:hAnsi="Calibri"/>
                <w:color w:val="000000"/>
                <w:sz w:val="22"/>
              </w:rPr>
              <w:t xml:space="preserve">Rental Housing</w:t>
            </w:r>
          </w:p>
        </w:tc>
      </w:tr>
      <w:tr>
        <w:trPr>
          <w:cantSplit w:val="true"/>
        </w:trPr>
        <w:tc>
          <w:tcPr>
            <w:vMerge/>
          </w:tcPr>
          <w:p/>
        </w:tc>
        <w:tc>
          <w:p>
            <w:pPr>
              <w:keepNext w:val="true"/>
              <w:spacing w:before="100" w:after="0"/>
              <w:rPr>
                <w:b/>
              </w:rPr>
            </w:pPr>
            <w:r>
              <w:rPr>
                <w:b/>
              </w:rPr>
              <w:t>Goal Description</w:t>
            </w:r>
          </w:p>
        </w:tc>
        <w:tc>
          <w:p>
            <w:pPr>
              <w:spacing w:before="100" w:after="0"/>
            </w:pPr>
            <w:r>
              <w:rPr>
                <w:rFonts w:ascii="Calibri" w:hAnsi="Calibri"/>
                <w:color w:val="000000"/>
                <w:sz w:val="22"/>
              </w:rPr>
              <w:t xml:space="preserve">HOME will be provided to help finance the development and construction of at least 15 affordable housing developments over the next five years and to finance the preservation and retrofitting of 5 affordable rental housing projects.</w:t>
            </w:r>
          </w:p>
        </w:tc>
      </w:tr>
      <w:tr>
        <w:trPr>
          <w:cantSplit w:val="true"/>
        </w:trPr>
        <w:tc>
          <w:tcPr>
            <w:vMerge w:val="restart"/>
          </w:tcPr>
          <w:p>
            <w:pPr>
              <w:keepNext w:val="true"/>
              <w:spacing w:before="100" w:after="0"/>
            </w:pPr>
            <w:r>
              <w:rPr>
                <w:rFonts w:ascii="Calibri" w:hAnsi="Calibri"/>
                <w:b/>
                <w:color w:val="000000"/>
                <w:sz w:val="22"/>
              </w:rPr>
              <w:t xml:space="preserve">3</w:t>
            </w:r>
          </w:p>
        </w:tc>
        <w:tc>
          <w:p>
            <w:pPr>
              <w:keepNext w:val="true"/>
              <w:spacing w:before="100" w:after="0"/>
              <w:rPr>
                <w:b/>
              </w:rPr>
            </w:pPr>
            <w:r>
              <w:rPr>
                <w:b/>
              </w:rPr>
              <w:t>Goal Name</w:t>
            </w:r>
          </w:p>
        </w:tc>
        <w:tc>
          <w:p>
            <w:pPr>
              <w:spacing w:before="100" w:after="0"/>
            </w:pPr>
            <w:r>
              <w:rPr>
                <w:rFonts w:ascii="Calibri" w:hAnsi="Calibri"/>
                <w:color w:val="000000"/>
                <w:sz w:val="22"/>
              </w:rPr>
              <w:t xml:space="preserve">Rental Assistance</w:t>
            </w:r>
          </w:p>
        </w:tc>
      </w:tr>
      <w:tr>
        <w:trPr>
          <w:cantSplit w:val="true"/>
        </w:trPr>
        <w:tc>
          <w:tcPr>
            <w:vMerge/>
          </w:tcPr>
          <w:p/>
        </w:tc>
        <w:tc>
          <w:p>
            <w:pPr>
              <w:keepNext w:val="true"/>
              <w:spacing w:before="100" w:after="0"/>
              <w:rPr>
                <w:b/>
              </w:rPr>
            </w:pPr>
            <w:r>
              <w:rPr>
                <w:b/>
              </w:rPr>
              <w:t>Goal Description</w:t>
            </w:r>
          </w:p>
        </w:tc>
        <w:tc>
          <w:p>
            <w:pPr>
              <w:spacing w:before="100" w:after="0"/>
            </w:pPr>
          </w:p>
          <w:p>
            <w:pPr>
              <w:spacing w:before="100" w:after="0"/>
            </w:pPr>
            <w:r>
              <w:rPr>
                <w:rFonts w:ascii="Calibri" w:hAnsi="Calibri"/>
                <w:color w:val="000000"/>
                <w:sz w:val="22"/>
              </w:rPr>
              <w:t xml:space="preserve">Grant funds will be provided to the Road Home $300,000 HOME, Housing Connect $250,000,  estimated to provide assistance to 200 households</w:t>
            </w:r>
          </w:p>
        </w:tc>
      </w:tr>
      <w:tr>
        <w:trPr>
          <w:cantSplit w:val="true"/>
        </w:trPr>
        <w:tc>
          <w:tcPr>
            <w:vMerge w:val="restart"/>
          </w:tcPr>
          <w:p>
            <w:pPr>
              <w:keepNext w:val="true"/>
              <w:spacing w:before="100" w:after="0"/>
            </w:pPr>
            <w:r>
              <w:rPr>
                <w:rFonts w:ascii="Calibri" w:hAnsi="Calibri"/>
                <w:b/>
                <w:color w:val="000000"/>
                <w:sz w:val="22"/>
              </w:rPr>
              <w:t xml:space="preserve">4</w:t>
            </w:r>
          </w:p>
        </w:tc>
        <w:tc>
          <w:p>
            <w:pPr>
              <w:keepNext w:val="true"/>
              <w:spacing w:before="100" w:after="0"/>
              <w:rPr>
                <w:b/>
              </w:rPr>
            </w:pPr>
            <w:r>
              <w:rPr>
                <w:b/>
              </w:rPr>
              <w:t>Goal Name</w:t>
            </w:r>
          </w:p>
        </w:tc>
        <w:tc>
          <w:p>
            <w:pPr>
              <w:spacing w:before="100" w:after="0"/>
            </w:pPr>
            <w:r>
              <w:rPr>
                <w:rFonts w:ascii="Calibri" w:hAnsi="Calibri"/>
                <w:color w:val="000000"/>
                <w:sz w:val="22"/>
              </w:rPr>
              <w:t xml:space="preserve">Homeownership</w:t>
            </w:r>
          </w:p>
        </w:tc>
      </w:tr>
      <w:tr>
        <w:trPr>
          <w:cantSplit w:val="true"/>
        </w:trPr>
        <w:tc>
          <w:tcPr>
            <w:vMerge/>
          </w:tcPr>
          <w:p/>
        </w:tc>
        <w:tc>
          <w:p>
            <w:pPr>
              <w:keepNext w:val="true"/>
              <w:spacing w:before="100" w:after="0"/>
              <w:rPr>
                <w:b/>
              </w:rPr>
            </w:pPr>
            <w:r>
              <w:rPr>
                <w:b/>
              </w:rPr>
              <w:t>Goal Description</w:t>
            </w:r>
          </w:p>
        </w:tc>
        <w:tc>
          <w:p>
            <w:pPr>
              <w:spacing w:before="100" w:after="0"/>
            </w:pPr>
            <w:r>
              <w:rPr>
                <w:rFonts w:ascii="Calibri" w:hAnsi="Calibri"/>
                <w:color w:val="000000"/>
                <w:sz w:val="22"/>
              </w:rPr>
              <w:t xml:space="preserve">West Valley City and Taylorsville City have alloccated HOME funds for the operation of a downpayment assistance program, CDBG funds were allocated to International rescue mission and to Community Development Corporation of Utah to adminster down payment assistance programs, it is estimated that 30 households will receive downpayment assistance</w:t>
            </w:r>
          </w:p>
        </w:tc>
      </w:tr>
      <w:tr>
        <w:trPr>
          <w:cantSplit w:val="true"/>
        </w:trPr>
        <w:tc>
          <w:tcPr>
            <w:vMerge w:val="restart"/>
          </w:tcPr>
          <w:p>
            <w:pPr>
              <w:keepNext w:val="true"/>
              <w:spacing w:before="100" w:after="0"/>
            </w:pPr>
            <w:r>
              <w:rPr>
                <w:rFonts w:ascii="Calibri" w:hAnsi="Calibri"/>
                <w:b/>
                <w:color w:val="000000"/>
                <w:sz w:val="22"/>
              </w:rPr>
              <w:t xml:space="preserve">5</w:t>
            </w:r>
          </w:p>
        </w:tc>
        <w:tc>
          <w:p>
            <w:pPr>
              <w:keepNext w:val="true"/>
              <w:spacing w:before="100" w:after="0"/>
              <w:rPr>
                <w:b/>
              </w:rPr>
            </w:pPr>
            <w:r>
              <w:rPr>
                <w:b/>
              </w:rPr>
              <w:t>Goal Name</w:t>
            </w:r>
          </w:p>
        </w:tc>
        <w:tc>
          <w:p>
            <w:pPr>
              <w:spacing w:before="100" w:after="0"/>
            </w:pPr>
            <w:r>
              <w:rPr>
                <w:rFonts w:ascii="Calibri" w:hAnsi="Calibri"/>
                <w:color w:val="000000"/>
                <w:sz w:val="22"/>
              </w:rPr>
              <w:t xml:space="preserve">Infrastructure</w:t>
            </w:r>
          </w:p>
        </w:tc>
      </w:tr>
      <w:tr>
        <w:trPr>
          <w:cantSplit w:val="true"/>
        </w:trPr>
        <w:tc>
          <w:tcPr>
            <w:vMerge/>
          </w:tcPr>
          <w:p/>
        </w:tc>
        <w:tc>
          <w:p>
            <w:pPr>
              <w:keepNext w:val="true"/>
              <w:spacing w:before="100" w:after="0"/>
              <w:rPr>
                <w:b/>
              </w:rPr>
            </w:pPr>
            <w:r>
              <w:rPr>
                <w:b/>
              </w:rPr>
              <w:t>Goal Description</w:t>
            </w:r>
          </w:p>
        </w:tc>
        <w:tc>
          <w:p>
            <w:pPr>
              <w:spacing w:before="100" w:after="0"/>
            </w:pPr>
            <w:r>
              <w:rPr>
                <w:rFonts w:ascii="Calibri" w:hAnsi="Calibri"/>
                <w:color w:val="000000"/>
                <w:sz w:val="22"/>
              </w:rPr>
              <w:t xml:space="preserve">Over the next five years is estimated 10 infrastructure projects will be funded and completed</w:t>
            </w:r>
          </w:p>
        </w:tc>
      </w:tr>
      <w:tr>
        <w:trPr>
          <w:cantSplit w:val="true"/>
        </w:trPr>
        <w:tc>
          <w:tcPr>
            <w:vMerge w:val="restart"/>
          </w:tcPr>
          <w:p>
            <w:pPr>
              <w:keepNext w:val="true"/>
              <w:spacing w:before="100" w:after="0"/>
            </w:pPr>
            <w:r>
              <w:rPr>
                <w:rFonts w:ascii="Calibri" w:hAnsi="Calibri"/>
                <w:b/>
                <w:color w:val="000000"/>
                <w:sz w:val="22"/>
              </w:rPr>
              <w:t xml:space="preserve">6</w:t>
            </w:r>
          </w:p>
        </w:tc>
        <w:tc>
          <w:p>
            <w:pPr>
              <w:keepNext w:val="true"/>
              <w:spacing w:before="100" w:after="0"/>
              <w:rPr>
                <w:b/>
              </w:rPr>
            </w:pPr>
            <w:r>
              <w:rPr>
                <w:b/>
              </w:rPr>
              <w:t>Goal Name</w:t>
            </w:r>
          </w:p>
        </w:tc>
        <w:tc>
          <w:p>
            <w:pPr>
              <w:spacing w:before="100" w:after="0"/>
            </w:pPr>
            <w:r>
              <w:rPr>
                <w:rFonts w:ascii="Calibri" w:hAnsi="Calibri"/>
                <w:color w:val="000000"/>
                <w:sz w:val="22"/>
              </w:rPr>
              <w:t xml:space="preserve">Public facilities</w:t>
            </w:r>
          </w:p>
        </w:tc>
      </w:tr>
      <w:tr>
        <w:trPr>
          <w:cantSplit w:val="true"/>
        </w:trPr>
        <w:tc>
          <w:tcPr>
            <w:vMerge/>
          </w:tcPr>
          <w:p/>
        </w:tc>
        <w:tc>
          <w:p>
            <w:pPr>
              <w:keepNext w:val="true"/>
              <w:spacing w:before="100" w:after="0"/>
              <w:rPr>
                <w:b/>
              </w:rPr>
            </w:pPr>
            <w:r>
              <w:rPr>
                <w:b/>
              </w:rPr>
              <w:t>Goal Description</w:t>
            </w:r>
          </w:p>
        </w:tc>
        <w:tc>
          <w:p>
            <w:pPr>
              <w:spacing w:before="100" w:after="0"/>
            </w:pPr>
            <w:r>
              <w:rPr>
                <w:rFonts w:ascii="Calibri" w:hAnsi="Calibri"/>
                <w:color w:val="000000"/>
                <w:sz w:val="22"/>
              </w:rPr>
              <w:t xml:space="preserve">CDBG funds will fund an estimated 30 public facility improvement projects over the next five years, which could include park improvements</w:t>
            </w:r>
          </w:p>
        </w:tc>
      </w:tr>
      <w:tr>
        <w:trPr>
          <w:cantSplit w:val="true"/>
        </w:trPr>
        <w:tc>
          <w:tcPr>
            <w:vMerge w:val="restart"/>
          </w:tcPr>
          <w:p>
            <w:pPr>
              <w:keepNext w:val="true"/>
              <w:spacing w:before="100" w:after="0"/>
            </w:pPr>
            <w:r>
              <w:rPr>
                <w:rFonts w:ascii="Calibri" w:hAnsi="Calibri"/>
                <w:b/>
                <w:color w:val="000000"/>
                <w:sz w:val="22"/>
              </w:rPr>
              <w:t xml:space="preserve">7</w:t>
            </w:r>
          </w:p>
        </w:tc>
        <w:tc>
          <w:p>
            <w:pPr>
              <w:keepNext w:val="true"/>
              <w:spacing w:before="100" w:after="0"/>
              <w:rPr>
                <w:b/>
              </w:rPr>
            </w:pPr>
            <w:r>
              <w:rPr>
                <w:b/>
              </w:rPr>
              <w:t>Goal Name</w:t>
            </w:r>
          </w:p>
        </w:tc>
        <w:tc>
          <w:p>
            <w:pPr>
              <w:spacing w:before="100" w:after="0"/>
            </w:pPr>
            <w:r>
              <w:rPr>
                <w:rFonts w:ascii="Calibri" w:hAnsi="Calibri"/>
                <w:color w:val="000000"/>
                <w:sz w:val="22"/>
              </w:rPr>
              <w:t xml:space="preserve">Access to crisis assistance</w:t>
            </w:r>
          </w:p>
        </w:tc>
      </w:tr>
      <w:tr>
        <w:trPr>
          <w:cantSplit w:val="true"/>
        </w:trPr>
        <w:tc>
          <w:tcPr>
            <w:vMerge/>
          </w:tcPr>
          <w:p/>
        </w:tc>
        <w:tc>
          <w:p>
            <w:pPr>
              <w:keepNext w:val="true"/>
              <w:spacing w:before="100" w:after="0"/>
              <w:rPr>
                <w:b/>
              </w:rPr>
            </w:pPr>
            <w:r>
              <w:rPr>
                <w:b/>
              </w:rPr>
              <w:t>Goal Description</w:t>
            </w:r>
          </w:p>
        </w:tc>
        <w:tc>
          <w:p>
            <w:pPr>
              <w:spacing w:before="100" w:after="0"/>
            </w:pPr>
            <w:r>
              <w:rPr>
                <w:rFonts w:ascii="Calibri" w:hAnsi="Calibri"/>
                <w:color w:val="000000"/>
                <w:sz w:val="22"/>
              </w:rPr>
              <w:t xml:space="preserve">CDBG funds willl provide supportive services to at least 30 agencies over the next five years to provide case management</w:t>
            </w:r>
          </w:p>
        </w:tc>
      </w:tr>
      <w:tr>
        <w:trPr>
          <w:cantSplit w:val="true"/>
        </w:trPr>
        <w:tc>
          <w:tcPr>
            <w:vMerge w:val="restart"/>
          </w:tcPr>
          <w:p>
            <w:pPr>
              <w:keepNext w:val="true"/>
              <w:spacing w:before="100" w:after="0"/>
            </w:pPr>
            <w:r>
              <w:rPr>
                <w:rFonts w:ascii="Calibri" w:hAnsi="Calibri"/>
                <w:b/>
                <w:color w:val="000000"/>
                <w:sz w:val="22"/>
              </w:rPr>
              <w:t xml:space="preserve">8</w:t>
            </w:r>
          </w:p>
        </w:tc>
        <w:tc>
          <w:p>
            <w:pPr>
              <w:keepNext w:val="true"/>
              <w:spacing w:before="100" w:after="0"/>
              <w:rPr>
                <w:b/>
              </w:rPr>
            </w:pPr>
            <w:r>
              <w:rPr>
                <w:b/>
              </w:rPr>
              <w:t>Goal Name</w:t>
            </w:r>
          </w:p>
        </w:tc>
        <w:tc>
          <w:p>
            <w:pPr>
              <w:spacing w:before="100" w:after="0"/>
            </w:pPr>
            <w:r>
              <w:rPr>
                <w:rFonts w:ascii="Calibri" w:hAnsi="Calibri"/>
                <w:color w:val="000000"/>
                <w:sz w:val="22"/>
              </w:rPr>
              <w:t xml:space="preserve">Stability and safety</w:t>
            </w:r>
          </w:p>
        </w:tc>
      </w:tr>
      <w:tr>
        <w:trPr>
          <w:cantSplit w:val="true"/>
        </w:trPr>
        <w:tc>
          <w:tcPr>
            <w:vMerge/>
          </w:tcPr>
          <w:p/>
        </w:tc>
        <w:tc>
          <w:p>
            <w:pPr>
              <w:keepNext w:val="true"/>
              <w:spacing w:before="100" w:after="0"/>
              <w:rPr>
                <w:b/>
              </w:rPr>
            </w:pPr>
            <w:r>
              <w:rPr>
                <w:b/>
              </w:rPr>
              <w:t>Goal Description</w:t>
            </w:r>
          </w:p>
        </w:tc>
        <w:tc>
          <w:p>
            <w:pPr>
              <w:spacing w:before="100" w:after="0"/>
            </w:pPr>
            <w:r>
              <w:rPr>
                <w:rFonts w:ascii="Calibri" w:hAnsi="Calibri"/>
                <w:color w:val="000000"/>
                <w:sz w:val="22"/>
              </w:rPr>
              <w:t xml:space="preserve">CDBG funds will be provided to at least 30 agencies over the five years to provided assistance to households to help increase their housing stability and safety</w:t>
            </w:r>
          </w:p>
        </w:tc>
      </w:tr>
      <w:tr>
        <w:trPr>
          <w:cantSplit w:val="true"/>
        </w:trPr>
        <w:tc>
          <w:tcPr>
            <w:vMerge w:val="restart"/>
          </w:tcPr>
          <w:p>
            <w:pPr>
              <w:keepNext w:val="true"/>
              <w:spacing w:before="100" w:after="0"/>
            </w:pPr>
            <w:r>
              <w:rPr>
                <w:rFonts w:ascii="Calibri" w:hAnsi="Calibri"/>
                <w:b/>
                <w:color w:val="000000"/>
                <w:sz w:val="22"/>
              </w:rPr>
              <w:t xml:space="preserve">9</w:t>
            </w:r>
          </w:p>
        </w:tc>
        <w:tc>
          <w:p>
            <w:pPr>
              <w:keepNext w:val="true"/>
              <w:spacing w:before="100" w:after="0"/>
              <w:rPr>
                <w:b/>
              </w:rPr>
            </w:pPr>
            <w:r>
              <w:rPr>
                <w:b/>
              </w:rPr>
              <w:t>Goal Name</w:t>
            </w:r>
          </w:p>
        </w:tc>
        <w:tc>
          <w:p>
            <w:pPr>
              <w:spacing w:before="100" w:after="0"/>
            </w:pPr>
            <w:r>
              <w:rPr>
                <w:rFonts w:ascii="Calibri" w:hAnsi="Calibri"/>
                <w:color w:val="000000"/>
                <w:sz w:val="22"/>
              </w:rPr>
              <w:t xml:space="preserve">Economic stability</w:t>
            </w:r>
          </w:p>
        </w:tc>
      </w:tr>
      <w:tr>
        <w:trPr>
          <w:cantSplit w:val="true"/>
        </w:trPr>
        <w:tc>
          <w:tcPr>
            <w:vMerge/>
          </w:tcPr>
          <w:p/>
        </w:tc>
        <w:tc>
          <w:p>
            <w:pPr>
              <w:keepNext w:val="true"/>
              <w:spacing w:before="100" w:after="0"/>
              <w:rPr>
                <w:b/>
              </w:rPr>
            </w:pPr>
            <w:r>
              <w:rPr>
                <w:b/>
              </w:rPr>
              <w:t>Goal Description</w:t>
            </w:r>
          </w:p>
        </w:tc>
        <w:tc>
          <w:p>
            <w:pPr>
              <w:spacing w:before="100" w:after="0"/>
            </w:pPr>
            <w:r>
              <w:rPr>
                <w:rFonts w:ascii="Calibri" w:hAnsi="Calibri"/>
                <w:color w:val="000000"/>
                <w:sz w:val="22"/>
              </w:rPr>
              <w:t xml:space="preserve">it is estimated at least 10 businesses will receive assistance, counseling short term loans</w:t>
            </w:r>
          </w:p>
        </w:tc>
      </w:tr>
      <w:tr>
        <w:trPr>
          <w:cantSplit w:val="true"/>
        </w:trPr>
        <w:tc>
          <w:tcPr>
            <w:vMerge w:val="restart"/>
          </w:tcPr>
          <w:p>
            <w:pPr>
              <w:keepNext w:val="true"/>
              <w:spacing w:before="100" w:after="0"/>
            </w:pPr>
            <w:r>
              <w:rPr>
                <w:rFonts w:ascii="Calibri" w:hAnsi="Calibri"/>
                <w:b/>
                <w:color w:val="000000"/>
                <w:sz w:val="22"/>
              </w:rPr>
              <w:t xml:space="preserve">10</w:t>
            </w:r>
          </w:p>
        </w:tc>
        <w:tc>
          <w:p>
            <w:pPr>
              <w:keepNext w:val="true"/>
              <w:spacing w:before="100" w:after="0"/>
              <w:rPr>
                <w:b/>
              </w:rPr>
            </w:pPr>
            <w:r>
              <w:rPr>
                <w:b/>
              </w:rPr>
              <w:t>Goal Name</w:t>
            </w:r>
          </w:p>
        </w:tc>
        <w:tc>
          <w:p>
            <w:pPr>
              <w:spacing w:before="100" w:after="0"/>
            </w:pPr>
            <w:r>
              <w:rPr>
                <w:rFonts w:ascii="Calibri" w:hAnsi="Calibri"/>
                <w:color w:val="000000"/>
                <w:sz w:val="22"/>
              </w:rPr>
              <w:t xml:space="preserve">Administration of HOME, ESG and CDBG</w:t>
            </w:r>
          </w:p>
        </w:tc>
      </w:tr>
      <w:tr>
        <w:trPr>
          <w:cantSplit w:val="true"/>
        </w:trPr>
        <w:tc>
          <w:tcPr>
            <w:vMerge/>
          </w:tcPr>
          <w:p/>
        </w:tc>
        <w:tc>
          <w:p>
            <w:pPr>
              <w:keepNext w:val="true"/>
              <w:spacing w:before="100" w:after="0"/>
              <w:rPr>
                <w:b/>
              </w:rPr>
            </w:pPr>
            <w:r>
              <w:rPr>
                <w:b/>
              </w:rPr>
              <w:t>Goal Description</w:t>
            </w:r>
          </w:p>
        </w:tc>
        <w:tc>
          <w:p>
            <w:pPr>
              <w:spacing w:before="100" w:after="0"/>
            </w:pPr>
            <w:r>
              <w:rPr>
                <w:rFonts w:ascii="Calibri" w:hAnsi="Calibri"/>
                <w:color w:val="000000"/>
                <w:sz w:val="22"/>
              </w:rPr>
              <w:t xml:space="preserve">HOME, CDBG, ESG funds will be used to adminster and manage the respective programs</w:t>
            </w:r>
          </w:p>
        </w:tc>
      </w:tr>
    </w:tbl>
    <w:p>
      <w:pPr>
        <w:rPr>
          <w:b/>
          <w:sz w:val="24"/>
          <w:szCs w:val="24"/>
        </w:rPr>
      </w:pPr>
      <w:r>
        <w:rPr>
          <w:b/>
          <w:sz w:val="24"/>
          <w:szCs w:val="24"/>
        </w:rPr>
        <w:t>Estimate the number of extremely low-income, low-income, and moderate-income families to whom the jurisdiction will provide affordable housing as defined by HOME 91.315(b)(2)</w:t>
      </w:r>
    </w:p>
    <w:p>
      <w:pPr>
        <w:spacing w:beforeAutospacing="true" w:afterAutospacing="true"/>
        <w:rPr>
          <w:szCs w:val="24"/>
        </w:rPr>
      </w:pPr>
      <w:r>
        <w:rPr/>
        <w:t xml:space="preserve">During this next year it is hoped that at least three new affordable rental housing developments will begin construction, the new Habitat for Humanity Kearns subdivision should begin construction and one new home through CDCU Idea House program will be competed</w:t>
      </w:r>
    </w:p>
    <w:p>
      <w:pPr>
        <w:rPr>
          <w:rFonts w:cs="Arial"/>
        </w:rPr>
      </w:pPr>
    </w:p>
    <w:p>
      <w:pPr>
        <w:pStyle w:val="Heading2"/>
        <w:pageBreakBefore/>
        <w:rPr>
          <w:rFonts w:ascii="Calibri" w:hAnsi="Calibri"/>
          <w:i w:val="false"/>
        </w:rPr>
        <w:sectPr>
          <w:pgSz w:w="15840" w:h="12240" w:orient="landscape" w:code="1"/>
          <w:pgMar w:top="1440" w:right="1440" w:bottom="1440" w:left="1440" w:header="720" w:footer="720" w:gutter="0"/>
          <w:cols w:space="720"/>
          <w:docGrid w:linePitch="360"/>
        </w:sectPr>
      </w:pPr>
    </w:p>
    <w:p>
      <w:pPr>
        <w:pStyle w:val="Heading2"/>
        <w:pageBreakBefore/>
        <w:rPr>
          <w:sz w:val="24"/>
          <w:szCs w:val="24"/>
        </w:rPr>
      </w:pPr>
      <w:r>
        <w:rPr>
          <w:rFonts w:ascii="Calibri" w:hAnsi="Calibri"/>
          <w:i w:val="false"/>
        </w:rPr>
        <w:t xml:space="preserve">SP-60 Homelessness Strategy - 91.415, 91.215(d) </w:t>
      </w:r>
      <w:r>
        <w:rPr>
          <w:sz w:val="24"/>
          <w:szCs w:val="24"/>
        </w:rPr>
      </w:r>
    </w:p>
    <w:p>
      <w:pPr>
        <w:rPr>
          <w:sz w:val="24"/>
          <w:szCs w:val="24"/>
        </w:rPr>
      </w:pPr>
    </w:p>
    <w:p>
      <w:pPr>
        <w:rPr>
          <w:sz w:val="24"/>
          <w:szCs w:val="24"/>
        </w:rPr>
      </w:pPr>
      <w:r>
        <w:rPr>
          <w:sz w:val="24"/>
          <w:szCs w:val="24"/>
        </w:rPr>
        <w:t xml:space="preserve">Describe how the jurisdiction's strategic plan goals contribute to: </w:t>
      </w:r>
      <w:r>
        <w:rPr>
          <w:b/>
          <w:i/>
          <w:sz w:val="24"/>
          <w:szCs w:val="24"/>
        </w:rPr>
      </w:r>
    </w:p>
    <w:p>
      <w:pPr>
        <w:rPr>
          <w:rFonts w:cs="Arial"/>
        </w:rPr>
      </w:pPr>
      <w:r>
        <w:rPr>
          <w:b/>
          <w:sz w:val="24"/>
          <w:szCs w:val="24"/>
        </w:rPr>
        <w:t>Reaching out to homeless persons (especially unsheltered persons) and assessing their individual needs</w:t>
      </w:r>
      <w:r>
        <w:rPr>
          <w:b/>
          <w:i/>
          <w:sz w:val="24"/>
          <w:szCs w:val="24"/>
        </w:rPr>
      </w:r>
      <w:r>
        <w:t xml:space="preserve"> </w:t>
      </w:r>
    </w:p>
    <w:p>
      <w:pPr>
        <w:numPr>
          <w:ilvl w:val="0"/>
          <w:numId w:val="3"/>
        </w:numPr>
        <w:spacing w:beforeAutospacing="true" w:afterAutospacing="true"/>
        <w:rPr>
          <w:rFonts w:cs="Arial"/>
        </w:rPr>
      </w:pPr>
      <w:r>
        <w:rPr>
          <w:rFonts w:cs="Arial"/>
        </w:rPr>
        <w:t xml:space="preserve">Street Outreach serves clients who do not seek shelter services, and Street Outreach programs will ensure that coordinated entry services are available to unsheltered households who do not actively seek shelter or services, yet have a high need for assistance from the homeless crisis response system. Salt Lake County’s homeless outreach teams will serve as mobile Access Points and will be trained to perform the Community-Based Screening and Housing Problem Solving steps, and will connect people to an appropriate Resource Center for diversion or placement into a bed if needed.</w:t>
      </w:r>
    </w:p>
    <w:p>
      <w:pPr>
        <w:numPr>
          <w:ilvl w:val="0"/>
          <w:numId w:val="3"/>
        </w:numPr>
        <w:spacing w:beforeAutospacing="true" w:afterAutospacing="true"/>
        <w:rPr>
          <w:rFonts w:cs="Arial"/>
        </w:rPr>
      </w:pPr>
      <w:r>
        <w:rPr>
          <w:rFonts w:cs="Arial"/>
        </w:rPr>
        <w:t xml:space="preserve">Street Outreach Teams will soon be able to conduct a Housing Needs Assessment (an assessment tool) for people who are unsheltered. If unsheltered households initially decline an offer of shelter or housing assistance, mobile outreach teams are expected to continue to engage with these clients over an extended period, with the goal of eventually assisting the client in the transition to permanent housing.</w:t>
      </w:r>
    </w:p>
    <w:p>
      <w:pPr>
        <w:spacing w:beforeAutospacing="true" w:afterAutospacing="true"/>
        <w:rPr>
          <w:rFonts w:cs="Arial"/>
        </w:rPr>
      </w:pPr>
    </w:p>
    <w:p>
      <w:pPr>
        <w:rPr>
          <w:rFonts w:cs="Arial"/>
        </w:rPr>
      </w:pPr>
      <w:r>
        <w:rPr>
          <w:b/>
          <w:sz w:val="24"/>
          <w:szCs w:val="24"/>
        </w:rPr>
        <w:t>Addressing the emergency and transitional housing needs of homeless persons</w:t>
      </w:r>
      <w:r>
        <w:rPr>
          <w:b/>
          <w:i/>
          <w:sz w:val="24"/>
          <w:szCs w:val="24"/>
        </w:rPr>
      </w:r>
      <w:r>
        <w:t xml:space="preserve"> </w:t>
      </w:r>
    </w:p>
    <w:p>
      <w:pPr>
        <w:spacing w:beforeAutospacing="true" w:afterAutospacing="true"/>
        <w:rPr>
          <w:rFonts w:cs="Arial"/>
        </w:rPr>
      </w:pPr>
      <w:r>
        <w:rPr>
          <w:rFonts w:cs="Arial"/>
        </w:rPr>
        <w:t xml:space="preserve">There are nine agencies in Salt Lake County that provide emergency shelter to those experiencing homelessness. Shelter options include those for individuals, families, youth, domestic violence survivors, and those that are medically frail. Salt Lake County has been transitioning from a model with a large shelter operating the majority of the Emergency Shelter to three new resource centers for individuals. The majority of the shelters utilize the coordinated entry system and are housing focused; this includes housing problem solving services prior to shelter intake.</w:t>
      </w:r>
    </w:p>
    <w:p>
      <w:pPr>
        <w:spacing w:beforeAutospacing="true" w:afterAutospacing="true"/>
        <w:rPr>
          <w:rFonts w:cs="Arial"/>
        </w:rPr>
      </w:pPr>
      <w:r>
        <w:rPr>
          <w:rFonts w:cs="Arial"/>
        </w:rPr>
        <w:t xml:space="preserve"> </w:t>
      </w:r>
      <w:r>
        <w:rPr>
          <w:rFonts w:cs="Arial"/>
        </w:rPr>
        <w:br/>
        <w:t xml:space="preserve"/>
      </w:r>
    </w:p>
    <w:p>
      <w:pPr>
        <w:rPr>
          <w:b/>
          <w:sz w:val="24"/>
          <w:szCs w:val="24"/>
        </w:rPr>
      </w:pPr>
      <w:r>
        <w:rPr>
          <w:b/>
          <w:sz w:val="24"/>
          <w:szCs w:val="24"/>
        </w:rPr>
        <w:t>Helping homeless persons (especially chronically homeless individuals and families, families with children, veterans and their families, and unaccompanied youth) make the transition to permanent housing and independent living, including shortening the period of time that individuals and families experience homelessness, facilitating access for homeless individuals and families to affordable housing units, and preventing individuals and families who were recently homeless from becoming homeless again.</w:t>
      </w:r>
      <w:r>
        <w:rPr>
          <w:b/>
          <w:i/>
          <w:sz w:val="24"/>
          <w:szCs w:val="24"/>
        </w:rPr>
      </w:r>
      <w:r>
        <w:t xml:space="preserve"> </w:t>
      </w:r>
    </w:p>
    <w:p>
      <w:pPr>
        <w:numPr>
          <w:ilvl w:val="0"/>
          <w:numId w:val="3"/>
        </w:numPr>
        <w:spacing w:beforeAutospacing="true" w:afterAutospacing="true"/>
        <w:rPr>
          <w:b/>
          <w:sz w:val="24"/>
          <w:szCs w:val="24"/>
        </w:rPr>
      </w:pPr>
      <w:r>
        <w:rPr>
          <w:rFonts w:cs="Arial"/>
        </w:rPr>
        <w:t xml:space="preserve">The CoC identifies factors of persons who return to homelessness through:</w:t>
      </w:r>
      <w:r>
        <w:rPr>
          <w:rFonts w:cs="Arial"/>
        </w:rPr>
        <w:t xml:space="preserve">Interviews with families to identify the causes of returns to homelessness</w:t>
      </w:r>
      <w:r>
        <w:rPr>
          <w:rFonts w:cs="Arial"/>
        </w:rPr>
        <w:t xml:space="preserve">Increased case management to monitor stability &amp; measure risk for returns to homelessness.</w:t>
      </w:r>
      <w:r>
        <w:rPr>
          <w:rFonts w:cs="Arial"/>
        </w:rPr>
        <w:t xml:space="preserve">Utilizing “progressive engagement” to help understand individuals &amp; families’ housing plans</w:t>
      </w:r>
      <w:r>
        <w:rPr>
          <w:rFonts w:cs="Arial"/>
        </w:rPr>
        <w:t xml:space="preserve">PHA monitoring exits from housing to homelessness</w:t>
      </w:r>
      <w:r>
        <w:rPr>
          <w:rFonts w:cs="Arial"/>
        </w:rPr>
        <w:t xml:space="preserve">Researching factors</w:t>
      </w:r>
    </w:p>
    <w:p>
      <w:pPr>
        <w:numPr>
          <w:ilvl w:val="0"/>
          <w:numId w:val="3"/>
        </w:numPr>
        <w:spacing w:beforeAutospacing="true" w:afterAutospacing="true"/>
        <w:rPr>
          <w:b/>
          <w:sz w:val="24"/>
          <w:szCs w:val="24"/>
        </w:rPr>
      </w:pPr>
      <w:r>
        <w:rPr>
          <w:rFonts w:cs="Arial"/>
        </w:rPr>
        <w:t xml:space="preserve">Strategies to reduce rates include:</w:t>
      </w:r>
      <w:r>
        <w:rPr>
          <w:rFonts w:cs="Arial"/>
        </w:rPr>
        <w:t xml:space="preserve">Increased RRH efforts &amp; beds using diverse funding sources including TANF,</w:t>
      </w:r>
      <w:r>
        <w:rPr>
          <w:rFonts w:cs="Arial"/>
        </w:rPr>
        <w:t xml:space="preserve">CoC &amp; ESG dollars.</w:t>
      </w:r>
      <w:r>
        <w:rPr>
          <w:rFonts w:cs="Arial"/>
        </w:rPr>
        <w:t xml:space="preserve">Increased case management services which extend beyond the time of exit.</w:t>
      </w:r>
      <w:r>
        <w:rPr>
          <w:rFonts w:cs="Arial"/>
        </w:rPr>
        <w:t xml:space="preserve">Increased support of prevention programs, including those provided by Utah</w:t>
      </w:r>
    </w:p>
    <w:p>
      <w:pPr>
        <w:spacing w:beforeAutospacing="true" w:afterAutospacing="true"/>
        <w:rPr>
          <w:b/>
          <w:sz w:val="24"/>
          <w:szCs w:val="24"/>
        </w:rPr>
      </w:pPr>
      <w:r>
        <w:rPr>
          <w:rFonts w:cs="Arial"/>
        </w:rPr>
        <w:t xml:space="preserve">Community Action (UCA)</w:t>
      </w:r>
    </w:p>
    <w:p>
      <w:pPr>
        <w:numPr>
          <w:ilvl w:val="0"/>
          <w:numId w:val="3"/>
        </w:numPr>
        <w:spacing w:beforeAutospacing="true" w:afterAutospacing="true"/>
        <w:rPr>
          <w:b/>
          <w:sz w:val="24"/>
          <w:szCs w:val="24"/>
        </w:rPr>
      </w:pPr>
      <w:r>
        <w:rPr>
          <w:rFonts w:cs="Arial"/>
        </w:rPr>
        <w:t xml:space="preserve">Increased PSH projects &amp; the use of VI-SPDAT assessment</w:t>
      </w:r>
    </w:p>
    <w:p>
      <w:pPr>
        <w:numPr>
          <w:ilvl w:val="0"/>
          <w:numId w:val="3"/>
        </w:numPr>
        <w:spacing w:beforeAutospacing="true" w:afterAutospacing="true"/>
        <w:rPr>
          <w:b/>
          <w:sz w:val="24"/>
          <w:szCs w:val="24"/>
        </w:rPr>
      </w:pPr>
      <w:r>
        <w:rPr>
          <w:rFonts w:cs="Arial"/>
        </w:rPr>
        <w:t xml:space="preserve">Expanded efforts of diversion, focusing on connecting individuals to supportive</w:t>
      </w:r>
    </w:p>
    <w:p>
      <w:pPr>
        <w:numPr>
          <w:ilvl w:val="0"/>
          <w:numId w:val="3"/>
        </w:numPr>
        <w:spacing w:beforeAutospacing="true" w:afterAutospacing="true"/>
        <w:rPr>
          <w:b/>
          <w:sz w:val="24"/>
          <w:szCs w:val="24"/>
        </w:rPr>
      </w:pPr>
      <w:r>
        <w:rPr>
          <w:rFonts w:cs="Arial"/>
        </w:rPr>
        <w:t xml:space="preserve">services &amp; resources including employment.</w:t>
      </w:r>
    </w:p>
    <w:p>
      <w:pPr>
        <w:numPr>
          <w:ilvl w:val="0"/>
          <w:numId w:val="3"/>
        </w:numPr>
        <w:spacing w:beforeAutospacing="true" w:afterAutospacing="true"/>
        <w:rPr>
          <w:b/>
          <w:sz w:val="24"/>
          <w:szCs w:val="24"/>
        </w:rPr>
      </w:pPr>
      <w:r>
        <w:rPr>
          <w:rFonts w:cs="Arial"/>
        </w:rPr>
        <w:t xml:space="preserve">-Constructing 3 resources centers designed to offer a higher level of support for</w:t>
      </w:r>
    </w:p>
    <w:p>
      <w:pPr>
        <w:numPr>
          <w:ilvl w:val="0"/>
          <w:numId w:val="3"/>
        </w:numPr>
        <w:spacing w:beforeAutospacing="true" w:afterAutospacing="true"/>
        <w:rPr>
          <w:b/>
          <w:sz w:val="24"/>
          <w:szCs w:val="24"/>
        </w:rPr>
      </w:pPr>
      <w:r>
        <w:rPr>
          <w:rFonts w:cs="Arial"/>
        </w:rPr>
        <w:t xml:space="preserve">individuals &amp; families, help them transition into housing more quickly.</w:t>
      </w:r>
    </w:p>
    <w:p>
      <w:pPr>
        <w:numPr>
          <w:ilvl w:val="0"/>
          <w:numId w:val="3"/>
        </w:numPr>
        <w:spacing w:beforeAutospacing="true" w:afterAutospacing="true"/>
        <w:rPr>
          <w:b/>
          <w:sz w:val="24"/>
          <w:szCs w:val="24"/>
        </w:rPr>
      </w:pPr>
      <w:r>
        <w:rPr>
          <w:rFonts w:cs="Arial"/>
        </w:rPr>
        <w:t xml:space="preserve">-Coordinated Entry prioritization of households who need to be rehoused/a</w:t>
      </w:r>
    </w:p>
    <w:p>
      <w:pPr>
        <w:numPr>
          <w:ilvl w:val="0"/>
          <w:numId w:val="3"/>
        </w:numPr>
        <w:spacing w:beforeAutospacing="true" w:afterAutospacing="true"/>
        <w:rPr>
          <w:b/>
          <w:sz w:val="24"/>
          <w:szCs w:val="24"/>
        </w:rPr>
      </w:pPr>
      <w:r>
        <w:rPr>
          <w:rFonts w:cs="Arial"/>
        </w:rPr>
        <w:t xml:space="preserve">different type of housing assistance to prevent returns to homelessness</w:t>
      </w:r>
    </w:p>
    <w:p>
      <w:pPr>
        <w:numPr>
          <w:ilvl w:val="0"/>
          <w:numId w:val="3"/>
        </w:numPr>
        <w:spacing w:beforeAutospacing="true" w:afterAutospacing="true"/>
        <w:rPr>
          <w:b/>
          <w:sz w:val="24"/>
          <w:szCs w:val="24"/>
        </w:rPr>
      </w:pPr>
      <w:r>
        <w:rPr>
          <w:rFonts w:cs="Arial"/>
        </w:rPr>
        <w:t xml:space="preserve">While the Salt Lake Valley Coalition to End Homelessness steering committee is responsible for overseeing the CoC’s strategy to reduce the rate individuals and persons in families return to homelessness, they look to Core Function Groups, including Housing, Crisis Response and Client Focus to recommend strategies. Agencies provide data, which is tracked in HMIS, and reports are pulled to show progress on System Performance Measures which include returns to homelessness.</w:t>
      </w:r>
    </w:p>
    <w:p>
      <w:pPr>
        <w:rPr>
          <w:rFonts w:cs="Arial"/>
        </w:rPr>
      </w:pPr>
      <w:r>
        <w:rPr>
          <w:b/>
          <w:sz w:val="24"/>
          <w:szCs w:val="24"/>
        </w:rPr>
        <w:t>Help low-income individuals and families avoid becoming homeless, especially extremely low-income individuals and families who are likely to become homeless after being discharged from a publicly funded institution or system of care, or who are receiving assistance from public and private agencies that address housing, health, social services, employment, education or youth needs</w:t>
      </w:r>
      <w:r>
        <w:rPr>
          <w:b/>
          <w:i/>
          <w:sz w:val="24"/>
          <w:szCs w:val="24"/>
        </w:rPr>
      </w:r>
      <w:r>
        <w:t xml:space="preserve"> </w:t>
      </w:r>
    </w:p>
    <w:p>
      <w:pPr>
        <w:numPr>
          <w:ilvl w:val="0"/>
          <w:numId w:val="3"/>
        </w:numPr>
        <w:spacing w:beforeAutospacing="true" w:afterAutospacing="true"/>
        <w:rPr>
          <w:rFonts w:cs="Arial"/>
        </w:rPr>
      </w:pPr>
      <w:r>
        <w:rPr>
          <w:rFonts w:cs="Arial"/>
        </w:rPr>
        <w:t xml:space="preserve">Continuum of Care works to coordinate discharge planning for those exiting foster care, health care, mental health care, and correctional facilities to ensure that those leaving systems of care are not discharged into homelessness and are able to access resources to avoid becoming homeless.</w:t>
      </w:r>
    </w:p>
    <w:p>
      <w:pPr>
        <w:numPr>
          <w:ilvl w:val="0"/>
          <w:numId w:val="3"/>
        </w:numPr>
        <w:spacing w:beforeAutospacing="true" w:afterAutospacing="true"/>
        <w:rPr>
          <w:rFonts w:cs="Arial"/>
        </w:rPr>
      </w:pPr>
      <w:r>
        <w:rPr>
          <w:rFonts w:cs="Arial"/>
        </w:rPr>
        <w:t xml:space="preserve">CoC identifies risk factors for those who may become homeless based upon data &amp; research. Factors include income less than 50% FPL, mental health, substance abuse, &amp; chronic health problems, education, &amp; history of incarceration. Risk factors are evaluated through data collection &amp; analysis with HMIS team. Local PHAs work to identify risk factors for potential eviction.</w:t>
      </w:r>
    </w:p>
    <w:p>
      <w:pPr>
        <w:numPr>
          <w:ilvl w:val="0"/>
          <w:numId w:val="3"/>
        </w:numPr>
        <w:spacing w:beforeAutospacing="true" w:afterAutospacing="true"/>
        <w:rPr>
          <w:rFonts w:cs="Arial"/>
        </w:rPr>
      </w:pPr>
      <w:r>
        <w:rPr>
          <w:rFonts w:cs="Arial"/>
        </w:rPr>
        <w:t xml:space="preserve">Our strategy to reduce first time homelessness includes comparing annual numbers to understand trends, strengthen our prevention &amp; diversion programs, &amp; share data on risk factors with partner systems such as State employment, mainstream resources, food pantries, housing authorities &amp; others who can target their resources to those at risk of homelessness. Local programs include:</w:t>
      </w:r>
      <w:r>
        <w:rPr>
          <w:rFonts w:cs="Arial"/>
        </w:rPr>
        <w:t xml:space="preserve">Prioritizing rehouses/housing stability.</w:t>
      </w:r>
      <w:r>
        <w:rPr>
          <w:rFonts w:cs="Arial"/>
        </w:rPr>
        <w:t xml:space="preserve">YWCA provides domestic violence survivors with flexible financial assistance to help avoid homelessness by obtaining or maintaining housing, &amp; other support services.</w:t>
      </w:r>
      <w:r>
        <w:rPr>
          <w:rFonts w:cs="Arial"/>
        </w:rPr>
        <w:t xml:space="preserve">VA Supportive Services for Veteran Families (SSVF) helps people stay housed.</w:t>
      </w:r>
      <w:r>
        <w:rPr>
          <w:rFonts w:cs="Arial"/>
        </w:rPr>
        <w:t xml:space="preserve">Service providers reduce/eliminate barriers to services through the provision of supportive employment services</w:t>
      </w:r>
      <w:r>
        <w:rPr>
          <w:rFonts w:cs="Arial"/>
        </w:rPr>
        <w:t xml:space="preserve">Landlord Tenant Mediation to prevent evictions &amp; ensure tenants understand their rights.</w:t>
      </w:r>
      <w:r>
        <w:rPr>
          <w:rFonts w:cs="Arial"/>
        </w:rPr>
        <w:t xml:space="preserve">SLCo Jail treatment program which aims to identify those at risk of homelessness &amp; connect them with treatment.</w:t>
      </w:r>
      <w:r>
        <w:rPr>
          <w:rFonts w:cs="Arial"/>
        </w:rPr>
        <w:t xml:space="preserve">Expanded access to detox beds &amp; inpatient substance abuse treatment which provide immediate diversion from shelter</w:t>
      </w:r>
    </w:p>
    <w:p>
      <w:pPr>
        <w:numPr>
          <w:ilvl w:val="0"/>
          <w:numId w:val="3"/>
        </w:numPr>
        <w:spacing w:beforeAutospacing="true" w:afterAutospacing="true"/>
        <w:rPr>
          <w:rFonts w:cs="Arial"/>
        </w:rPr>
      </w:pPr>
      <w:r>
        <w:rPr>
          <w:rFonts w:cs="Arial"/>
        </w:rPr>
        <w:t xml:space="preserve">The community will review data tracked in HMIS to show progress on System Performance Measures which include first time homeless.</w:t>
      </w:r>
    </w:p>
    <w:p>
      <w:pPr>
        <w:pStyle w:val="Heading2"/>
        <w:pageBreakBefore/>
        <w:rPr>
          <w:rFonts w:ascii="Calibri" w:hAnsi="Calibri"/>
          <w:i w:val="false"/>
        </w:rPr>
      </w:pPr>
      <w:r>
        <w:rPr>
          <w:rFonts w:ascii="Calibri" w:hAnsi="Calibri"/>
          <w:i w:val="false"/>
        </w:rPr>
        <w:t>SP-65 Lead-based Paint Hazards - 91.415, 91.215(i)</w:t>
      </w:r>
    </w:p>
    <w:p>
      <w:pPr>
        <w:rPr>
          <w:b/>
          <w:sz w:val="24"/>
          <w:szCs w:val="24"/>
        </w:rPr>
      </w:pPr>
      <w:r>
        <w:rPr>
          <w:b/>
          <w:sz w:val="24"/>
          <w:szCs w:val="24"/>
        </w:rPr>
        <w:t>Actions to address LBP hazards and increase access to housing without LBP hazards</w:t>
      </w:r>
    </w:p>
    <w:p>
      <w:pPr>
        <w:spacing w:beforeAutospacing="true" w:afterAutospacing="true"/>
        <w:rPr>
          <w:rFonts w:cs="Arial"/>
        </w:rPr>
      </w:pPr>
      <w:r>
        <w:rPr>
          <w:rFonts w:cs="Arial"/>
        </w:rPr>
        <w:t xml:space="preserve">Salt Lake County has had a lead safe housing program since 2002, funded with Lead Hazard Control grants from HUD, since 2017 a lead outreach grant from thre Center of Disease Control, and this program has been integrated into the HOME and CDBG funded rehabilitation programs.</w:t>
      </w:r>
    </w:p>
    <w:p>
      <w:pPr>
        <w:spacing w:beforeAutospacing="true" w:afterAutospacing="true"/>
        <w:rPr>
          <w:rFonts w:cs="Arial"/>
        </w:rPr>
      </w:pPr>
      <w:r>
        <w:rPr>
          <w:rFonts w:cs="Arial"/>
        </w:rPr>
        <w:br/>
        <w:t xml:space="preserve"/>
      </w:r>
      <w:r>
        <w:rPr>
          <w:rFonts w:cs="Arial"/>
        </w:rPr>
        <w:t xml:space="preserve">Salt Lake County has developed a Lead Free Salt Lake community wide effort to meet the following objectives:</w:t>
      </w:r>
    </w:p>
    <w:p>
      <w:pPr>
        <w:spacing w:beforeAutospacing="true" w:afterAutospacing="true"/>
        <w:rPr>
          <w:rFonts w:cs="Arial"/>
        </w:rPr>
      </w:pPr>
      <w:r>
        <w:rPr>
          <w:rFonts w:cs="Arial"/>
        </w:rPr>
        <w:t xml:space="preserve">1. Increase the number of children who are tested for lead poisoning-We have over the last year more than doubled the number of chldren under the age of six who are tested. In 2017 the Utah Lead Coalition was formed and there are now 40 agencies working together to increase the awareness of lead poisoning, and increase the number of children tested.</w:t>
      </w:r>
    </w:p>
    <w:p>
      <w:pPr>
        <w:spacing w:beforeAutospacing="true" w:afterAutospacing="true"/>
        <w:rPr>
          <w:rFonts w:cs="Arial"/>
        </w:rPr>
      </w:pPr>
      <w:r>
        <w:rPr>
          <w:rFonts w:cs="Arial"/>
        </w:rPr>
        <w:t xml:space="preserve">2. Improve the collection of data pertaining to those children who have tested positive for lead poisoning, improve surveillance and analysis</w:t>
      </w:r>
    </w:p>
    <w:p>
      <w:pPr>
        <w:spacing w:beforeAutospacing="true" w:afterAutospacing="true"/>
        <w:rPr>
          <w:rFonts w:cs="Arial"/>
        </w:rPr>
      </w:pPr>
      <w:r>
        <w:rPr>
          <w:rFonts w:cs="Arial"/>
        </w:rPr>
        <w:t xml:space="preserve">3. Improve the coordination between agencies on outreach and education</w:t>
      </w:r>
    </w:p>
    <w:p>
      <w:pPr>
        <w:spacing w:beforeAutospacing="true" w:afterAutospacing="true"/>
        <w:rPr>
          <w:rFonts w:cs="Arial"/>
        </w:rPr>
      </w:pPr>
      <w:r>
        <w:rPr>
          <w:rFonts w:cs="Arial"/>
        </w:rPr>
        <w:t xml:space="preserve">4. Increase the number of households referred to Salt Lake County lead safe housing program</w:t>
      </w:r>
    </w:p>
    <w:p>
      <w:pPr>
        <w:rPr>
          <w:b/>
          <w:sz w:val="24"/>
          <w:szCs w:val="24"/>
        </w:rPr>
      </w:pPr>
      <w:r>
        <w:rPr>
          <w:b/>
          <w:sz w:val="24"/>
          <w:szCs w:val="24"/>
        </w:rPr>
        <w:t>How are the actions listed above integrated into housing policies and procedures?</w:t>
      </w:r>
    </w:p>
    <w:p>
      <w:pPr>
        <w:spacing w:beforeAutospacing="true" w:afterAutospacing="true"/>
        <w:rPr>
          <w:rFonts w:cs="Arial"/>
        </w:rPr>
      </w:pPr>
      <w:r>
        <w:rPr>
          <w:rFonts w:cs="Arial"/>
        </w:rPr>
        <w:t xml:space="preserve">In order to address these critical needs, the five year goal of the Salt Lake County Lead Safe Salt Lake Housing Program is to reduce lead hazards in300 housing units. . </w:t>
      </w:r>
    </w:p>
    <w:p>
      <w:pPr>
        <w:spacing w:beforeAutospacing="true" w:afterAutospacing="true"/>
        <w:rPr>
          <w:rFonts w:cs="Arial"/>
        </w:rPr>
      </w:pPr>
      <w:r>
        <w:rPr>
          <w:rFonts w:cs="Arial"/>
        </w:rPr>
        <w:t xml:space="preserve"> Salt Lake County has been allocated $5.1 million in lead and healthy homes funding. This funding will over the next four years meet the following objectives:</w:t>
      </w:r>
    </w:p>
    <w:p>
      <w:pPr>
        <w:spacing w:beforeAutospacing="true" w:afterAutospacing="true"/>
        <w:rPr>
          <w:rFonts w:cs="Arial"/>
        </w:rPr>
      </w:pPr>
      <w:r>
        <w:rPr>
          <w:rFonts w:cs="Arial"/>
        </w:rPr>
        <w:t xml:space="preserve">•         Select, qualify, enroll, and make lead safe 250 low to moderate income housing units in targeted neighborhoods.</w:t>
      </w:r>
    </w:p>
    <w:p>
      <w:pPr>
        <w:spacing w:beforeAutospacing="true" w:afterAutospacing="true"/>
        <w:rPr>
          <w:rFonts w:cs="Arial"/>
        </w:rPr>
      </w:pPr>
      <w:r>
        <w:rPr>
          <w:rFonts w:cs="Arial"/>
        </w:rPr>
        <w:t xml:space="preserve">•         Increase the integration of lead-safe projects into the weatherization, rehabilitation and Energy Star programs.</w:t>
      </w:r>
    </w:p>
    <w:p>
      <w:pPr>
        <w:spacing w:beforeAutospacing="true" w:afterAutospacing="true"/>
        <w:rPr>
          <w:rFonts w:cs="Arial"/>
        </w:rPr>
      </w:pPr>
      <w:r>
        <w:rPr>
          <w:rFonts w:cs="Arial"/>
        </w:rPr>
        <w:t xml:space="preserve">•         Increase the involvement of community based organizations such as the Housing Coalition and Community Health of Magna. Perform community outreach and education with faith-based organizations and other community based organizations to increase awareness and enroll housing units.</w:t>
      </w:r>
    </w:p>
    <w:p>
      <w:pPr>
        <w:spacing w:beforeAutospacing="true" w:afterAutospacing="true"/>
        <w:rPr>
          <w:rFonts w:cs="Arial"/>
        </w:rPr>
      </w:pPr>
      <w:r>
        <w:rPr>
          <w:rFonts w:cs="Arial"/>
        </w:rPr>
        <w:t xml:space="preserve">•         Provide training to increase the number of contractors and workers.</w:t>
      </w:r>
    </w:p>
    <w:p>
      <w:pPr>
        <w:spacing w:beforeAutospacing="true" w:afterAutospacing="true"/>
        <w:rPr>
          <w:rFonts w:cs="Arial"/>
        </w:rPr>
      </w:pPr>
      <w:r>
        <w:rPr>
          <w:rFonts w:cs="Arial"/>
        </w:rPr>
        <w:t xml:space="preserve">•         Do outreach among the Housing Authorities to recruit possible contractors and workers. Perform outreach to low income neighborhoods and housing authorities on the availability of jobs and training for lead related work and contracts.</w:t>
      </w:r>
    </w:p>
    <w:p>
      <w:pPr>
        <w:spacing w:beforeAutospacing="true" w:afterAutospacing="true"/>
        <w:rPr>
          <w:rFonts w:cs="Arial"/>
        </w:rPr>
      </w:pPr>
      <w:r>
        <w:rPr>
          <w:rFonts w:cs="Arial"/>
        </w:rPr>
        <w:t xml:space="preserve"> Units will be made lead safe by using a combination of interim controls and abatement techniques.  Emphasis will be placed on interim controls with ongoing efforts to control costs and maximize the use of grant funds. A typical abatement technique is window replacement and is done when it is not economically feasible to repair the building component. As each household is assisted, they will be given the booklet Renovate Right and Title X lead disclosure information sheet.</w:t>
      </w:r>
    </w:p>
    <w:p>
      <w:pPr>
        <w:spacing w:beforeAutospacing="true" w:afterAutospacing="true"/>
        <w:rPr>
          <w:rFonts w:cs="Arial"/>
        </w:rPr>
      </w:pPr>
    </w:p>
    <w:p>
      <w:pPr>
        <w:keepNext/>
        <w:widowControl w:val="false"/>
        <w:rPr>
          <w:b/>
          <w:sz w:val="24"/>
          <w:szCs w:val="24"/>
        </w:rPr>
      </w:pPr>
    </w:p>
    <w:p>
      <w:pPr>
        <w:keepNext/>
        <w:widowControl w:val="false"/>
        <w:rPr>
          <w:b/>
          <w:sz w:val="24"/>
          <w:szCs w:val="24"/>
        </w:rPr>
      </w:pPr>
    </w:p>
    <w:p>
      <w:pPr>
        <w:keepNext/>
        <w:widowControl w:val="false"/>
        <w:rPr>
          <w:b/>
          <w:sz w:val="24"/>
          <w:szCs w:val="24"/>
        </w:rPr>
      </w:pPr>
    </w:p>
    <w:p>
      <w:pPr>
        <w:keepNext/>
        <w:widowControl w:val="false"/>
        <w:rPr>
          <w:b/>
          <w:sz w:val="24"/>
          <w:szCs w:val="24"/>
        </w:rPr>
      </w:pPr>
    </w:p>
    <w:p>
      <w:pPr>
        <w:keepNext/>
        <w:widowControl w:val="false"/>
        <w:rPr>
          <w:b/>
          <w:sz w:val="24"/>
          <w:szCs w:val="24"/>
        </w:rPr>
      </w:pPr>
    </w:p>
    <w:p>
      <w:pPr>
        <w:pStyle w:val="Heading2"/>
        <w:pageBreakBefore/>
        <w:rPr>
          <w:rFonts w:ascii="Calibri" w:hAnsi="Calibri"/>
          <w:i w:val="false"/>
        </w:rPr>
      </w:pPr>
      <w:r>
        <w:rPr>
          <w:rFonts w:ascii="Calibri" w:hAnsi="Calibri"/>
          <w:i w:val="false"/>
        </w:rPr>
        <w:t>SP-70 Anti-Poverty Strategy - 91.415, 91.215(j)</w:t>
      </w:r>
    </w:p>
    <w:p>
      <w:pPr>
        <w:rPr>
          <w:b/>
          <w:sz w:val="24"/>
          <w:szCs w:val="24"/>
        </w:rPr>
      </w:pPr>
      <w:r>
        <w:rPr>
          <w:b/>
          <w:sz w:val="24"/>
          <w:szCs w:val="24"/>
        </w:rPr>
        <w:t>Jurisdiction Goals, Programs and Policies for reducing the number of Poverty-Level Families</w:t>
      </w:r>
    </w:p>
    <w:p>
      <w:pPr>
        <w:spacing w:beforeAutospacing="true" w:afterAutospacing="true"/>
        <w:rPr>
          <w:rFonts w:cs="Arial"/>
          <w:szCs w:val="26"/>
        </w:rPr>
      </w:pPr>
      <w:r>
        <w:rPr>
          <w:rFonts w:cs="Arial"/>
        </w:rPr>
        <w:t xml:space="preserve">Salt Lake County created an Intergenerational Poverty Task Force under the direction of a member of the elected Salt Lake County Council.  The task force is composed of various stakeholders in the community including education, behavioral health, School of social work, non-profit and religious organizations and those who have been in poverty.  Using data provided the Utah State Department of Workforce Services areas of the community with the highest incidence of those on Public Assistance has been analyzed.  The data suggests that there are various approaches needed to help those in poverty.  The focus is on eliminating barriers that keep households from getting out of poverty and preventing households from falling into poverty.  Those activities include:</w:t>
      </w:r>
    </w:p>
    <w:p>
      <w:pPr>
        <w:numPr>
          <w:ilvl w:val="0"/>
          <w:numId w:val="22"/>
        </w:numPr>
        <w:spacing w:beforeAutospacing="true" w:afterAutospacing="true"/>
      </w:pPr>
      <w:r>
        <w:rPr>
          <w:rFonts w:cs="Arial"/>
        </w:rPr>
        <w:t xml:space="preserve">Identification of a target areas within Salt Lake County with the highest percentage of households in intergenerational poverty.  Develop a mentoring program (Circles) which is a national program designed to engage and empower households to develop the skills and abilities to make to improve their economic situation.</w:t>
      </w:r>
    </w:p>
    <w:p>
      <w:pPr>
        <w:numPr>
          <w:ilvl w:val="0"/>
          <w:numId w:val="22"/>
        </w:numPr>
        <w:spacing w:beforeAutospacing="true" w:afterAutospacing="true"/>
      </w:pPr>
      <w:r>
        <w:rPr>
          <w:rFonts w:cs="Arial"/>
        </w:rPr>
        <w:t xml:space="preserve">Ensure that all contracts with private -nonprofit providers contain the expectation that outreach be performed to low income populations to enable households access to services.</w:t>
      </w:r>
    </w:p>
    <w:p>
      <w:pPr>
        <w:numPr>
          <w:ilvl w:val="0"/>
          <w:numId w:val="22"/>
        </w:numPr>
        <w:spacing w:beforeAutospacing="true" w:afterAutospacing="true"/>
      </w:pPr>
      <w:r>
        <w:rPr>
          <w:rFonts w:cs="Arial"/>
        </w:rPr>
        <w:t xml:space="preserve">Stabilizing households that that be at risk of losing their housing by provided needed homeless repairs, renovations including health, safety and energy efficiency assistance to allow them to remain in their own homes.</w:t>
      </w:r>
    </w:p>
    <w:p>
      <w:pPr>
        <w:numPr>
          <w:ilvl w:val="0"/>
          <w:numId w:val="22"/>
        </w:numPr>
        <w:spacing w:beforeAutospacing="true" w:afterAutospacing="true"/>
      </w:pPr>
      <w:r>
        <w:rPr>
          <w:rFonts w:cs="Arial"/>
        </w:rPr>
        <w:t xml:space="preserve">Provide job training, job placement and skills training.</w:t>
      </w:r>
    </w:p>
    <w:p>
      <w:pPr>
        <w:numPr>
          <w:ilvl w:val="0"/>
          <w:numId w:val="22"/>
        </w:numPr>
        <w:spacing w:beforeAutospacing="true" w:afterAutospacing="true"/>
      </w:pPr>
      <w:r>
        <w:rPr>
          <w:rFonts w:cs="Arial"/>
        </w:rPr>
        <w:t xml:space="preserve">Provide supportive services to vulnerable populations</w:t>
      </w:r>
    </w:p>
    <w:p>
      <w:pPr>
        <w:numPr>
          <w:ilvl w:val="0"/>
          <w:numId w:val="22"/>
        </w:numPr>
        <w:spacing w:beforeAutospacing="true" w:afterAutospacing="true"/>
      </w:pPr>
      <w:r>
        <w:rPr>
          <w:rFonts w:cs="Arial"/>
        </w:rPr>
        <w:t xml:space="preserve">Expand housing opportunities.</w:t>
      </w:r>
    </w:p>
    <w:p>
      <w:pPr>
        <w:numPr>
          <w:ilvl w:val="0"/>
          <w:numId w:val="22"/>
        </w:numPr>
        <w:spacing w:beforeAutospacing="true" w:afterAutospacing="true"/>
      </w:pPr>
      <w:r>
        <w:rPr>
          <w:rFonts w:cs="Arial"/>
        </w:rPr>
        <w:t xml:space="preserve">Neighborhood and Infrastructure improvements.</w:t>
      </w:r>
    </w:p>
    <w:p>
      <w:pPr>
        <w:numPr>
          <w:ilvl w:val="0"/>
          <w:numId w:val="22"/>
        </w:numPr>
        <w:spacing w:beforeAutospacing="true" w:afterAutospacing="true"/>
      </w:pPr>
      <w:r>
        <w:rPr>
          <w:rFonts w:cs="Arial"/>
        </w:rPr>
        <w:t xml:space="preserve">Economic development</w:t>
      </w:r>
    </w:p>
    <w:p>
      <w:pPr>
        <w:spacing w:beforeAutospacing="true" w:afterAutospacing="true"/>
        <w:rPr>
          <w:rFonts w:cs="Arial"/>
          <w:szCs w:val="26"/>
        </w:rPr>
      </w:pPr>
    </w:p>
    <w:p>
      <w:pPr>
        <w:rPr>
          <w:b/>
          <w:sz w:val="24"/>
          <w:szCs w:val="24"/>
        </w:rPr>
      </w:pPr>
      <w:r>
        <w:rPr>
          <w:b/>
          <w:sz w:val="24"/>
          <w:szCs w:val="24"/>
        </w:rPr>
        <w:t>How are the Jurisdiction poverty reducing goals, programs, and policies coordinated with this affordable housing plan</w:t>
      </w:r>
    </w:p>
    <w:p>
      <w:pPr>
        <w:spacing w:beforeAutospacing="true" w:afterAutospacing="true"/>
        <w:rPr>
          <w:rFonts w:cs="Arial"/>
        </w:rPr>
      </w:pPr>
      <w:r>
        <w:rPr>
          <w:rFonts w:cs="Arial"/>
        </w:rPr>
        <w:t xml:space="preserve">The major focus of the County’s efforts in providing services to vulnerable populations is to ensure access to affordable housing and offer services to help households maintain housing.  The County’s Housing plan encourages the development of affordable housing, rehabilitation, eliminating or reducing costly or unneeded regulations, and providing financial assistance.</w:t>
      </w:r>
    </w:p>
    <w:p>
      <w:pPr>
        <w:pStyle w:val="Heading2"/>
        <w:pageBreakBefore/>
        <w:rPr>
          <w:rFonts w:ascii="Calibri" w:hAnsi="Calibri"/>
          <w:i w:val="false"/>
        </w:rPr>
      </w:pPr>
      <w:r>
        <w:rPr>
          <w:rFonts w:ascii="Calibri" w:hAnsi="Calibri"/>
          <w:i w:val="false"/>
        </w:rPr>
        <w:t>SP-80 Monitoring - 91.230</w:t>
      </w:r>
    </w:p>
    <w:p>
      <w:pPr>
        <w:rPr>
          <w:b/>
          <w:sz w:val="24"/>
          <w:szCs w:val="24"/>
        </w:rPr>
      </w:pPr>
      <w:r>
        <w:rPr>
          <w:b/>
          <w:sz w:val="24"/>
          <w:szCs w:val="24"/>
        </w:rPr>
        <w:t>Describe the standards and procedures that the jurisdiction will use to monitor activities carried out in furtherance of the plan and will use to ensure long-term compliance with requirements of the programs involved, including minority business outreach and the comprehensive planning requirements</w:t>
      </w:r>
    </w:p>
    <w:p>
      <w:pPr>
        <w:spacing w:beforeAutospacing="true" w:afterAutospacing="true"/>
        <w:rPr>
          <w:rFonts w:cs="Arial"/>
        </w:rPr>
      </w:pPr>
      <w:r>
        <w:rPr>
          <w:rFonts w:cs="Arial"/>
        </w:rPr>
        <w:t xml:space="preserve">CDBG: Each year there is a risk assessment made of all recipients of funding. A meeting is held to review the recipient’s history, capacity, and performance and then based on this analsysis a monitoring plan is developed each year.</w:t>
      </w:r>
    </w:p>
    <w:p>
      <w:pPr>
        <w:spacing w:beforeAutospacing="true" w:afterAutospacing="true"/>
        <w:rPr>
          <w:rFonts w:cs="Arial"/>
        </w:rPr>
      </w:pPr>
      <w:r>
        <w:rPr>
          <w:rFonts w:cs="Arial"/>
        </w:rPr>
        <w:t xml:space="preserve"> </w:t>
      </w:r>
    </w:p>
    <w:p>
      <w:pPr>
        <w:spacing w:beforeAutospacing="true" w:afterAutospacing="true"/>
        <w:rPr>
          <w:rFonts w:cs="Arial"/>
        </w:rPr>
      </w:pPr>
      <w:r>
        <w:rPr>
          <w:rFonts w:cs="Arial"/>
        </w:rPr>
        <w:t xml:space="preserve">ESG: Each year there is a risk assessment made of all recipients of funding. A meeting is held to review the recipient’s history, capacity, and performance </w:t>
      </w:r>
      <w:r>
        <w:rPr>
          <w:rFonts w:cs="Arial"/>
        </w:rPr>
        <w:t xml:space="preserve">and then based on this analsysis a monitoring plan is developed each year.</w:t>
      </w:r>
    </w:p>
    <w:p>
      <w:pPr>
        <w:spacing w:beforeAutospacing="true" w:afterAutospacing="true"/>
        <w:rPr>
          <w:rFonts w:cs="Arial"/>
        </w:rPr>
      </w:pPr>
      <w:r>
        <w:rPr>
          <w:rFonts w:cs="Arial"/>
        </w:rPr>
        <w:t xml:space="preserve"> </w:t>
      </w:r>
    </w:p>
    <w:p>
      <w:pPr>
        <w:spacing w:beforeAutospacing="true" w:afterAutospacing="true"/>
        <w:rPr>
          <w:rFonts w:cs="Arial"/>
        </w:rPr>
      </w:pPr>
      <w:r>
        <w:rPr>
          <w:rFonts w:cs="Arial"/>
        </w:rPr>
        <w:t xml:space="preserve">HOME: Every grantee will be monitored. Before funding decisions are made staff prepares a risk assessment for each potential grantee and completes a layering analysis of the request for funding. Each year a monitoring plan is developed both for current recipients of funding and the previously funding rental housing projects.</w:t>
      </w:r>
    </w:p>
    <w:p>
      <w:pPr>
        <w:spacing w:beforeAutospacing="true" w:afterAutospacing="true"/>
        <w:rPr>
          <w:rFonts w:cs="Arial"/>
        </w:rPr>
      </w:pPr>
    </w:p>
    <w:p>
      <w:pPr>
        <w:rPr>
          <w:rFonts w:cs="Arial"/>
        </w:rPr>
        <w:sectPr>
          <w:pgSz w:w="12240" w:h="15840" w:code="1"/>
          <w:pgMar w:top="1440" w:right="1440" w:bottom="1440" w:left="1440" w:header="720" w:footer="720" w:gutter="0"/>
          <w:cols w:space="720"/>
          <w:docGrid w:linePitch="360"/>
        </w:sectPr>
      </w:pPr>
    </w:p>
    <w:p>
      <w:pPr>
        <w:pStyle w:val="Heading1"/>
        <w:jc w:val="center"/>
        <w:rPr>
          <w:rFonts w:ascii="Calibri" w:hAnsi="Calibri"/>
          <w:color w:val="auto"/>
          <w:sz w:val="32"/>
          <w:szCs w:val="32"/>
        </w:rPr>
      </w:pPr>
      <w:r>
        <w:rPr>
          <w:rFonts w:ascii="Calibri" w:hAnsi="Calibri"/>
          <w:color w:val="auto"/>
          <w:sz w:val="32"/>
          <w:szCs w:val="32"/>
        </w:rPr>
        <w:t>Expected Resources</w:t>
      </w:r>
    </w:p>
    <w:p>
      <w:pPr>
        <w:rPr>
          <w:b/>
          <w:sz w:val="28"/>
          <w:szCs w:val="28"/>
        </w:rPr>
      </w:pPr>
    </w:p>
    <w:p>
      <w:pPr>
        <w:pStyle w:val="Heading2"/>
        <w:rPr>
          <w:rFonts w:ascii="Calibri" w:hAnsi="Calibri"/>
          <w:i w:val="false"/>
        </w:rPr>
      </w:pPr>
      <w:r>
        <w:rPr>
          <w:rFonts w:ascii="Calibri" w:hAnsi="Calibri"/>
          <w:i w:val="false"/>
        </w:rPr>
        <w:t>AP-15 Expected Resources - 91.420(b), 91.220(c)(1,2)</w:t>
      </w:r>
    </w:p>
    <w:p>
      <w:pPr>
        <w:keepNext/>
        <w:widowControl w:val="false"/>
        <w:spacing w:line="204" w:lineRule="auto"/>
        <w:rPr>
          <w:b/>
          <w:sz w:val="28"/>
          <w:szCs w:val="28"/>
        </w:rPr>
      </w:pPr>
      <w:r>
        <w:rPr>
          <w:b/>
          <w:sz w:val="24"/>
          <w:szCs w:val="24"/>
        </w:rPr>
        <w:t>Introduction</w:t>
      </w:r>
    </w:p>
    <w:p>
      <w:pPr>
        <w:keepNext/>
        <w:widowControl w:val="false"/>
        <w:spacing w:beforeAutospacing="true" w:afterAutospacing="true"/>
        <w:rPr>
          <w:b/>
          <w:sz w:val="24"/>
          <w:szCs w:val="24"/>
        </w:rPr>
      </w:pPr>
      <w:r>
        <w:rPr/>
        <w:t xml:space="preserve">Listed below are the listing of the resources of CDBG funds allocated to the Urban County, the HOME allocated to the Consortium of Salt Lake County, and the ESG funds allocated to Salt Lake County.</w:t>
      </w:r>
    </w:p>
    <w:p>
      <w:pPr>
        <w:keepNext/>
        <w:widowControl w:val="false"/>
        <w:spacing w:beforeAutospacing="true" w:afterAutospacing="true"/>
        <w:rPr>
          <w:b/>
          <w:sz w:val="24"/>
          <w:szCs w:val="24"/>
        </w:rPr>
      </w:pPr>
    </w:p>
    <w:p>
      <w:pPr>
        <w:keepNext/>
        <w:widowControl w:val="false"/>
        <w:rPr>
          <w:b/>
          <w:sz w:val="24"/>
          <w:szCs w:val="24"/>
        </w:rPr>
      </w:pPr>
      <w:r>
        <w:rPr>
          <w:b/>
          <w:sz w:val="24"/>
          <w:szCs w:val="24"/>
        </w:rPr>
        <w:t>Anticipated Resources</w:t>
      </w:r>
    </w:p>
    <w:tbl>
      <w:tblPr>
        <w:tblW w:w="5000" w:type="pct"/>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firstRow="1" w:lastRow="1" w:firstColumn="1" w:lastColumn="1" w:noHBand="0" w:noVBand="0" w:val="01E0"/>
      </w:tblPr>
      <w:tblGrid>
        <w:gridCol w:w="1808"/>
        <w:gridCol w:w="827"/>
        <w:gridCol w:w="1953"/>
        <w:gridCol w:w="1215"/>
        <w:gridCol w:w="1271"/>
        <w:gridCol w:w="1271"/>
        <w:gridCol w:w="1090"/>
        <w:gridCol w:w="1271"/>
        <w:gridCol w:w="2470"/>
      </w:tblGrid>
      <w:tr>
        <w:trPr>
          <w:cantSplit/>
          <w:tblHeader/>
        </w:trPr>
        <w:tc>
          <w:tcPr>
            <w:tcW w:w="1793" w:type="dxa"/>
            <w:vMerge w:val="restart"/>
          </w:tcPr>
          <w:p>
            <w:pPr>
              <w:keepNext/>
              <w:widowControl w:val="false"/>
              <w:spacing w:after="0" w:line="240" w:lineRule="auto"/>
              <w:jc w:val="center"/>
              <w:rPr>
                <w:b/>
                <w:sz w:val="24"/>
                <w:szCs w:val="24"/>
              </w:rPr>
            </w:pPr>
            <w:r>
              <w:rPr>
                <w:b/>
                <w:sz w:val="20"/>
                <w:szCs w:val="20"/>
              </w:rPr>
              <w:t>Program</w:t>
            </w:r>
          </w:p>
        </w:tc>
        <w:tc>
          <w:tcPr>
            <w:tcW w:w="820" w:type="dxa"/>
            <w:vMerge w:val="restart"/>
          </w:tcPr>
          <w:p>
            <w:pPr>
              <w:keepNext/>
              <w:widowControl w:val="false"/>
              <w:spacing w:after="0" w:line="240" w:lineRule="auto"/>
              <w:jc w:val="center"/>
              <w:rPr>
                <w:b/>
                <w:sz w:val="24"/>
                <w:szCs w:val="24"/>
              </w:rPr>
            </w:pPr>
            <w:r>
              <w:rPr>
                <w:b/>
                <w:sz w:val="20"/>
                <w:szCs w:val="20"/>
              </w:rPr>
              <w:t>Source of Funds</w:t>
            </w:r>
          </w:p>
        </w:tc>
        <w:tc>
          <w:tcPr>
            <w:tcW w:w="1936" w:type="dxa"/>
            <w:vMerge w:val="restart"/>
          </w:tcPr>
          <w:p>
            <w:pPr>
              <w:keepNext/>
              <w:widowControl w:val="false"/>
              <w:spacing w:after="0" w:line="240" w:lineRule="auto"/>
              <w:jc w:val="center"/>
              <w:rPr>
                <w:b/>
                <w:sz w:val="24"/>
                <w:szCs w:val="24"/>
              </w:rPr>
            </w:pPr>
            <w:r>
              <w:rPr>
                <w:b/>
                <w:sz w:val="20"/>
                <w:szCs w:val="20"/>
              </w:rPr>
              <w:t>Uses of Funds</w:t>
            </w:r>
          </w:p>
        </w:tc>
        <w:tc>
          <w:tcPr>
            <w:tcW w:w="4804" w:type="dxa"/>
            <w:gridSpan w:val="4"/>
          </w:tcPr>
          <w:p>
            <w:pPr>
              <w:keepNext/>
              <w:widowControl w:val="false"/>
              <w:spacing w:after="0" w:line="240" w:lineRule="auto"/>
              <w:jc w:val="center"/>
              <w:rPr>
                <w:b/>
                <w:sz w:val="24"/>
                <w:szCs w:val="24"/>
              </w:rPr>
            </w:pPr>
            <w:r>
              <w:rPr>
                <w:b/>
                <w:bCs/>
                <w:sz w:val="20"/>
                <w:szCs w:val="20"/>
              </w:rPr>
              <w:t>Expected Amount Available Year 1</w:t>
            </w:r>
          </w:p>
        </w:tc>
        <w:tc>
          <w:tcPr>
            <w:tcW w:w="1260" w:type="dxa"/>
            <w:vMerge w:val="restart"/>
          </w:tcPr>
          <w:p>
            <w:pPr>
              <w:keepNext/>
              <w:widowControl w:val="false"/>
              <w:spacing w:after="0" w:line="240" w:lineRule="auto"/>
              <w:jc w:val="center"/>
              <w:rPr>
                <w:b/>
                <w:sz w:val="20"/>
                <w:szCs w:val="20"/>
              </w:rPr>
            </w:pPr>
            <w:r>
              <w:rPr>
                <w:b/>
                <w:sz w:val="20"/>
                <w:szCs w:val="20"/>
              </w:rPr>
              <w:t xml:space="preserve">Expected Amount Available Remainder of ConPlan </w:t>
            </w:r>
          </w:p>
          <w:p>
            <w:pPr>
              <w:keepNext/>
              <w:widowControl w:val="false"/>
              <w:spacing w:after="0" w:line="240" w:lineRule="auto"/>
              <w:jc w:val="center"/>
              <w:rPr>
                <w:b/>
                <w:sz w:val="24"/>
                <w:szCs w:val="24"/>
              </w:rPr>
            </w:pPr>
            <w:r>
              <w:rPr>
                <w:b/>
                <w:sz w:val="20"/>
                <w:szCs w:val="20"/>
              </w:rPr>
              <w:t>$</w:t>
            </w:r>
          </w:p>
        </w:tc>
        <w:tc>
          <w:tcPr>
            <w:tcW w:w="2448" w:type="dxa"/>
            <w:vMerge w:val="restart"/>
          </w:tcPr>
          <w:p>
            <w:pPr>
              <w:keepNext/>
              <w:widowControl w:val="false"/>
              <w:spacing w:after="0" w:line="240" w:lineRule="auto"/>
              <w:jc w:val="center"/>
              <w:rPr>
                <w:b/>
                <w:sz w:val="24"/>
                <w:szCs w:val="24"/>
              </w:rPr>
            </w:pPr>
            <w:r>
              <w:rPr>
                <w:b/>
                <w:sz w:val="20"/>
                <w:szCs w:val="20"/>
              </w:rPr>
              <w:t>Narrative Description</w:t>
            </w:r>
          </w:p>
        </w:tc>
      </w:tr>
      <w:tr>
        <w:trPr>
          <w:cantSplit/>
          <w:tblHeader/>
        </w:trPr>
        <w:tc>
          <w:tcPr>
            <w:tcW w:w="1793" w:type="dxa"/>
            <w:vMerge/>
          </w:tcPr>
          <w:p>
            <w:pPr>
              <w:keepNext/>
              <w:widowControl w:val="false"/>
              <w:spacing w:after="0" w:line="240" w:lineRule="auto"/>
              <w:jc w:val="center"/>
              <w:rPr>
                <w:b/>
                <w:sz w:val="24"/>
                <w:szCs w:val="24"/>
              </w:rPr>
            </w:pPr>
          </w:p>
        </w:tc>
        <w:tc>
          <w:tcPr>
            <w:tcW w:w="820" w:type="dxa"/>
            <w:vMerge/>
          </w:tcPr>
          <w:p>
            <w:pPr>
              <w:keepNext/>
              <w:widowControl w:val="false"/>
              <w:spacing w:after="0" w:line="240" w:lineRule="auto"/>
              <w:jc w:val="center"/>
              <w:rPr>
                <w:b/>
                <w:sz w:val="24"/>
                <w:szCs w:val="24"/>
              </w:rPr>
            </w:pPr>
          </w:p>
        </w:tc>
        <w:tc>
          <w:tcPr>
            <w:tcW w:w="1936" w:type="dxa"/>
            <w:vMerge/>
          </w:tcPr>
          <w:p>
            <w:pPr>
              <w:keepNext/>
              <w:widowControl w:val="false"/>
              <w:spacing w:after="0" w:line="240" w:lineRule="auto"/>
              <w:jc w:val="center"/>
              <w:rPr>
                <w:b/>
                <w:sz w:val="24"/>
                <w:szCs w:val="24"/>
              </w:rPr>
            </w:pPr>
          </w:p>
        </w:tc>
        <w:tc>
          <w:tcPr>
            <w:tcW w:w="1204" w:type="dxa"/>
          </w:tcPr>
          <w:p>
            <w:pPr>
              <w:keepNext/>
              <w:widowControl w:val="false"/>
              <w:spacing w:after="0" w:line="240" w:lineRule="auto"/>
              <w:jc w:val="center"/>
              <w:rPr>
                <w:b/>
                <w:sz w:val="24"/>
                <w:szCs w:val="24"/>
              </w:rPr>
            </w:pPr>
            <w:r>
              <w:rPr>
                <w:b/>
                <w:sz w:val="20"/>
                <w:szCs w:val="20"/>
              </w:rPr>
              <w:t>Annual Allocation: $</w:t>
            </w:r>
          </w:p>
        </w:tc>
        <w:tc>
          <w:tcPr>
            <w:tcW w:w="1260" w:type="dxa"/>
          </w:tcPr>
          <w:p>
            <w:pPr>
              <w:keepNext/>
              <w:widowControl w:val="false"/>
              <w:spacing w:after="0" w:line="240" w:lineRule="auto"/>
              <w:jc w:val="center"/>
              <w:rPr>
                <w:b/>
                <w:sz w:val="24"/>
                <w:szCs w:val="24"/>
              </w:rPr>
            </w:pPr>
            <w:r>
              <w:rPr>
                <w:b/>
                <w:sz w:val="20"/>
                <w:szCs w:val="20"/>
              </w:rPr>
              <w:t>Program Income: $</w:t>
            </w:r>
          </w:p>
        </w:tc>
        <w:tc>
          <w:tcPr>
            <w:tcW w:w="1260" w:type="dxa"/>
          </w:tcPr>
          <w:p>
            <w:pPr>
              <w:keepNext/>
              <w:widowControl w:val="false"/>
              <w:spacing w:after="0" w:line="240" w:lineRule="auto"/>
              <w:jc w:val="center"/>
              <w:rPr>
                <w:b/>
                <w:sz w:val="24"/>
                <w:szCs w:val="24"/>
              </w:rPr>
            </w:pPr>
            <w:r>
              <w:rPr>
                <w:b/>
                <w:sz w:val="20"/>
                <w:szCs w:val="20"/>
              </w:rPr>
              <w:t>Prior Year Resources: $</w:t>
            </w:r>
          </w:p>
        </w:tc>
        <w:tc>
          <w:tcPr>
            <w:tcW w:w="1080" w:type="dxa"/>
          </w:tcPr>
          <w:p>
            <w:pPr>
              <w:keepNext/>
              <w:widowControl w:val="false"/>
              <w:spacing w:after="0" w:line="240" w:lineRule="auto"/>
              <w:jc w:val="center"/>
              <w:rPr>
                <w:b/>
                <w:sz w:val="20"/>
                <w:szCs w:val="20"/>
              </w:rPr>
            </w:pPr>
            <w:r>
              <w:rPr>
                <w:b/>
                <w:sz w:val="20"/>
                <w:szCs w:val="20"/>
              </w:rPr>
              <w:t>Total:</w:t>
            </w:r>
          </w:p>
          <w:p>
            <w:pPr>
              <w:keepNext/>
              <w:widowControl w:val="false"/>
              <w:spacing w:after="0" w:line="240" w:lineRule="auto"/>
              <w:jc w:val="center"/>
              <w:rPr>
                <w:b/>
                <w:sz w:val="24"/>
                <w:szCs w:val="24"/>
              </w:rPr>
            </w:pPr>
            <w:r>
              <w:rPr>
                <w:b/>
                <w:sz w:val="20"/>
                <w:szCs w:val="20"/>
              </w:rPr>
              <w:t>$</w:t>
            </w:r>
          </w:p>
        </w:tc>
        <w:tc>
          <w:tcPr>
            <w:tcW w:w="1260" w:type="dxa"/>
            <w:vMerge/>
          </w:tcPr>
          <w:p>
            <w:pPr>
              <w:keepNext/>
              <w:widowControl w:val="false"/>
              <w:spacing w:after="0" w:line="240" w:lineRule="auto"/>
              <w:jc w:val="center"/>
              <w:rPr>
                <w:b/>
                <w:sz w:val="24"/>
                <w:szCs w:val="24"/>
              </w:rPr>
            </w:pPr>
          </w:p>
        </w:tc>
        <w:tc>
          <w:tcPr>
            <w:tcW w:w="2448" w:type="dxa"/>
            <w:vMerge/>
          </w:tcPr>
          <w:p>
            <w:pPr>
              <w:keepNext/>
              <w:widowControl w:val="false"/>
              <w:spacing w:after="0" w:line="240" w:lineRule="auto"/>
              <w:jc w:val="center"/>
              <w:rPr>
                <w:b/>
                <w:sz w:val="24"/>
                <w:szCs w:val="24"/>
              </w:rPr>
            </w:pPr>
          </w:p>
        </w:tc>
      </w:tr>
      <w:tr>
        <w:trPr>
          <w:cantSplit w:val="true"/>
        </w:trPr>
        <w:tc>
          <w:tcPr>
            <w:vAlign w:val="top"/>
          </w:tcPr>
          <w:p>
            <w:pPr>
              <w:spacing w:beforeAutospacing="true" w:afterAutospacing="true"/>
              <w:jc w:val="left"/>
            </w:pPr>
            <w:r>
              <w:rPr>
                <w:rFonts w:ascii="Calibri" w:hAnsi="Calibri"/>
                <w:color w:val="000000"/>
                <w:sz w:val="22"/>
              </w:rPr>
              <w:t xml:space="preserve">CDBG</w:t>
            </w:r>
          </w:p>
        </w:tc>
        <w:tc>
          <w:tcPr>
            <w:vAlign w:val="top"/>
          </w:tcPr>
          <w:p>
            <w:pPr>
              <w:spacing w:beforeAutospacing="true" w:afterAutospacing="true"/>
              <w:jc w:val="left"/>
            </w:pPr>
            <w:r>
              <w:rPr>
                <w:rFonts w:ascii="Calibri" w:hAnsi="Calibri"/>
                <w:color w:val="000000"/>
                <w:sz w:val="22"/>
              </w:rPr>
              <w:t xml:space="preserve">public - federal</w:t>
            </w:r>
          </w:p>
        </w:tc>
        <w:tc>
          <w:tcPr>
            <w:vAlign w:val="top"/>
          </w:tcPr>
          <w:p>
            <w:pPr>
              <w:spacing w:beforeAutospacing="true" w:afterAutospacing="true"/>
              <w:jc w:val="left"/>
            </w:pPr>
            <w:r>
              <w:rPr>
                <w:rFonts w:ascii="Calibri" w:hAnsi="Calibri"/>
                <w:color w:val="000000"/>
                <w:sz w:val="22"/>
              </w:rPr>
              <w:t xml:space="preserve">Acquisition</w:t>
            </w:r>
            <w:r>
              <w:rPr>
                <w:rFonts w:ascii="Calibri" w:hAnsi="Calibri"/>
                <w:color w:val="000000"/>
                <w:sz w:val="22"/>
              </w:rPr>
              <w:br/>
              <w:t xml:space="preserve"/>
            </w:r>
            <w:r>
              <w:rPr>
                <w:rFonts w:ascii="Calibri" w:hAnsi="Calibri"/>
                <w:color w:val="000000"/>
                <w:sz w:val="22"/>
              </w:rPr>
              <w:t xml:space="preserve">Admin and Planning</w:t>
            </w:r>
            <w:r>
              <w:rPr>
                <w:rFonts w:ascii="Calibri" w:hAnsi="Calibri"/>
                <w:color w:val="000000"/>
                <w:sz w:val="22"/>
              </w:rPr>
              <w:br/>
              <w:t xml:space="preserve"/>
            </w:r>
            <w:r>
              <w:rPr>
                <w:rFonts w:ascii="Calibri" w:hAnsi="Calibri"/>
                <w:color w:val="000000"/>
                <w:sz w:val="22"/>
              </w:rPr>
              <w:t xml:space="preserve">Economic Development</w:t>
            </w:r>
            <w:r>
              <w:rPr>
                <w:rFonts w:ascii="Calibri" w:hAnsi="Calibri"/>
                <w:color w:val="000000"/>
                <w:sz w:val="22"/>
              </w:rPr>
              <w:br/>
              <w:t xml:space="preserve"/>
            </w:r>
            <w:r>
              <w:rPr>
                <w:rFonts w:ascii="Calibri" w:hAnsi="Calibri"/>
                <w:color w:val="000000"/>
                <w:sz w:val="22"/>
              </w:rPr>
              <w:t xml:space="preserve">Housing</w:t>
            </w:r>
            <w:r>
              <w:rPr>
                <w:rFonts w:ascii="Calibri" w:hAnsi="Calibri"/>
                <w:color w:val="000000"/>
                <w:sz w:val="22"/>
              </w:rPr>
              <w:br/>
              <w:t xml:space="preserve"/>
            </w:r>
            <w:r>
              <w:rPr>
                <w:rFonts w:ascii="Calibri" w:hAnsi="Calibri"/>
                <w:color w:val="000000"/>
                <w:sz w:val="22"/>
              </w:rPr>
              <w:t xml:space="preserve">Public Improvements</w:t>
            </w:r>
            <w:r>
              <w:rPr>
                <w:rFonts w:ascii="Calibri" w:hAnsi="Calibri"/>
                <w:color w:val="000000"/>
                <w:sz w:val="22"/>
              </w:rPr>
              <w:br/>
              <w:t xml:space="preserve"/>
            </w:r>
            <w:r>
              <w:rPr>
                <w:rFonts w:ascii="Calibri" w:hAnsi="Calibri"/>
                <w:color w:val="000000"/>
                <w:sz w:val="22"/>
              </w:rPr>
              <w:t xml:space="preserve">Public Services</w:t>
            </w:r>
          </w:p>
        </w:tc>
        <w:tc>
          <w:tcPr>
            <w:vAlign w:val="bottom"/>
          </w:tcPr>
          <w:p>
            <w:pPr>
              <w:spacing w:beforeAutospacing="true" w:afterAutospacing="true"/>
              <w:jc w:val="right"/>
            </w:pPr>
            <w:r>
              <w:rPr>
                <w:rFonts w:ascii="Calibri" w:hAnsi="Calibri"/>
                <w:color w:val="000000"/>
                <w:sz w:val="22"/>
              </w:rPr>
              <w:t xml:space="preserve">2,528,574</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276,216</w:t>
            </w:r>
          </w:p>
        </w:tc>
        <w:tc>
          <w:tcPr>
            <w:vAlign w:val="bottom"/>
          </w:tcPr>
          <w:p>
            <w:pPr>
              <w:spacing w:beforeAutospacing="true" w:afterAutospacing="true"/>
              <w:jc w:val="right"/>
            </w:pPr>
            <w:r>
              <w:rPr>
                <w:rFonts w:ascii="Calibri" w:hAnsi="Calibri"/>
                <w:color w:val="000000"/>
                <w:sz w:val="22"/>
              </w:rPr>
              <w:t xml:space="preserve">2,804,790</w:t>
            </w:r>
          </w:p>
        </w:tc>
        <w:tc>
          <w:tcPr>
            <w:vAlign w:val="bottom"/>
          </w:tcPr>
          <w:p>
            <w:pPr>
              <w:spacing w:beforeAutospacing="true" w:afterAutospacing="true"/>
              <w:jc w:val="right"/>
            </w:pPr>
            <w:r>
              <w:rPr>
                <w:rFonts w:ascii="Calibri" w:hAnsi="Calibri"/>
                <w:color w:val="000000"/>
                <w:sz w:val="22"/>
              </w:rPr>
              <w:t xml:space="preserve">0</w:t>
            </w:r>
          </w:p>
        </w:tc>
        <w:tc>
          <w:tcPr>
            <w:vAlign w:val="top"/>
          </w:tcPr>
          <w:p>
            <w:pPr>
              <w:spacing w:beforeAutospacing="true" w:afterAutospacing="true"/>
              <w:jc w:val="left"/>
            </w:pPr>
            <w:r>
              <w:rPr>
                <w:rFonts w:ascii="Calibri" w:hAnsi="Calibri"/>
                <w:color w:val="000000"/>
                <w:sz w:val="22"/>
              </w:rPr>
              <w:t xml:space="preserve">  </w:t>
            </w:r>
          </w:p>
        </w:tc>
      </w:tr>
      <w:tr>
        <w:trPr>
          <w:cantSplit w:val="true"/>
        </w:trPr>
        <w:tc>
          <w:tcPr>
            <w:vAlign w:val="top"/>
          </w:tcPr>
          <w:p>
            <w:pPr>
              <w:spacing w:beforeAutospacing="true" w:afterAutospacing="true"/>
              <w:jc w:val="left"/>
            </w:pPr>
            <w:r>
              <w:rPr>
                <w:rFonts w:ascii="Calibri" w:hAnsi="Calibri"/>
                <w:color w:val="000000"/>
                <w:sz w:val="22"/>
              </w:rPr>
              <w:t xml:space="preserve">HOME</w:t>
            </w:r>
          </w:p>
        </w:tc>
        <w:tc>
          <w:tcPr>
            <w:vAlign w:val="top"/>
          </w:tcPr>
          <w:p>
            <w:pPr>
              <w:spacing w:beforeAutospacing="true" w:afterAutospacing="true"/>
              <w:jc w:val="left"/>
            </w:pPr>
            <w:r>
              <w:rPr>
                <w:rFonts w:ascii="Calibri" w:hAnsi="Calibri"/>
                <w:color w:val="000000"/>
                <w:sz w:val="22"/>
              </w:rPr>
              <w:t xml:space="preserve">public - federal</w:t>
            </w:r>
          </w:p>
        </w:tc>
        <w:tc>
          <w:tcPr>
            <w:vAlign w:val="top"/>
          </w:tcPr>
          <w:p>
            <w:pPr>
              <w:spacing w:beforeAutospacing="true" w:afterAutospacing="true"/>
              <w:jc w:val="left"/>
            </w:pPr>
            <w:r>
              <w:rPr>
                <w:rFonts w:ascii="Calibri" w:hAnsi="Calibri"/>
                <w:color w:val="000000"/>
                <w:sz w:val="22"/>
              </w:rPr>
              <w:t xml:space="preserve">Acquisition</w:t>
            </w:r>
            <w:r>
              <w:rPr>
                <w:rFonts w:ascii="Calibri" w:hAnsi="Calibri"/>
                <w:color w:val="000000"/>
                <w:sz w:val="22"/>
              </w:rPr>
              <w:br/>
              <w:t xml:space="preserve"/>
            </w:r>
            <w:r>
              <w:rPr>
                <w:rFonts w:ascii="Calibri" w:hAnsi="Calibri"/>
                <w:color w:val="000000"/>
                <w:sz w:val="22"/>
              </w:rPr>
              <w:t xml:space="preserve">Homebuyer assistance</w:t>
            </w:r>
            <w:r>
              <w:rPr>
                <w:rFonts w:ascii="Calibri" w:hAnsi="Calibri"/>
                <w:color w:val="000000"/>
                <w:sz w:val="22"/>
              </w:rPr>
              <w:br/>
              <w:t xml:space="preserve"/>
            </w:r>
            <w:r>
              <w:rPr>
                <w:rFonts w:ascii="Calibri" w:hAnsi="Calibri"/>
                <w:color w:val="000000"/>
                <w:sz w:val="22"/>
              </w:rPr>
              <w:t xml:space="preserve">Homeowner rehab</w:t>
            </w:r>
            <w:r>
              <w:rPr>
                <w:rFonts w:ascii="Calibri" w:hAnsi="Calibri"/>
                <w:color w:val="000000"/>
                <w:sz w:val="22"/>
              </w:rPr>
              <w:br/>
              <w:t xml:space="preserve"/>
            </w:r>
            <w:r>
              <w:rPr>
                <w:rFonts w:ascii="Calibri" w:hAnsi="Calibri"/>
                <w:color w:val="000000"/>
                <w:sz w:val="22"/>
              </w:rPr>
              <w:t xml:space="preserve">Multifamily rental new construction</w:t>
            </w:r>
            <w:r>
              <w:rPr>
                <w:rFonts w:ascii="Calibri" w:hAnsi="Calibri"/>
                <w:color w:val="000000"/>
                <w:sz w:val="22"/>
              </w:rPr>
              <w:br/>
              <w:t xml:space="preserve"/>
            </w:r>
            <w:r>
              <w:rPr>
                <w:rFonts w:ascii="Calibri" w:hAnsi="Calibri"/>
                <w:color w:val="000000"/>
                <w:sz w:val="22"/>
              </w:rPr>
              <w:t xml:space="preserve">Multifamily rental rehab</w:t>
            </w:r>
            <w:r>
              <w:rPr>
                <w:rFonts w:ascii="Calibri" w:hAnsi="Calibri"/>
                <w:color w:val="000000"/>
                <w:sz w:val="22"/>
              </w:rPr>
              <w:br/>
              <w:t xml:space="preserve"/>
            </w:r>
            <w:r>
              <w:rPr>
                <w:rFonts w:ascii="Calibri" w:hAnsi="Calibri"/>
                <w:color w:val="000000"/>
                <w:sz w:val="22"/>
              </w:rPr>
              <w:t xml:space="preserve">New construction for ownership</w:t>
            </w:r>
            <w:r>
              <w:rPr>
                <w:rFonts w:ascii="Calibri" w:hAnsi="Calibri"/>
                <w:color w:val="000000"/>
                <w:sz w:val="22"/>
              </w:rPr>
              <w:br/>
              <w:t xml:space="preserve"/>
            </w:r>
            <w:r>
              <w:rPr>
                <w:rFonts w:ascii="Calibri" w:hAnsi="Calibri"/>
                <w:color w:val="000000"/>
                <w:sz w:val="22"/>
              </w:rPr>
              <w:t xml:space="preserve">TBRA</w:t>
            </w:r>
          </w:p>
        </w:tc>
        <w:tc>
          <w:tcPr>
            <w:vAlign w:val="bottom"/>
          </w:tcPr>
          <w:p>
            <w:pPr>
              <w:spacing w:beforeAutospacing="true" w:afterAutospacing="true"/>
              <w:jc w:val="right"/>
            </w:pPr>
            <w:r>
              <w:rPr>
                <w:rFonts w:ascii="Calibri" w:hAnsi="Calibri"/>
                <w:color w:val="000000"/>
                <w:sz w:val="22"/>
              </w:rPr>
              <w:t xml:space="preserve">1,754,451</w:t>
            </w:r>
          </w:p>
        </w:tc>
        <w:tc>
          <w:tcPr>
            <w:vAlign w:val="bottom"/>
          </w:tcPr>
          <w:p>
            <w:pPr>
              <w:spacing w:beforeAutospacing="true" w:afterAutospacing="true"/>
              <w:jc w:val="right"/>
            </w:pPr>
            <w:r>
              <w:rPr>
                <w:rFonts w:ascii="Calibri" w:hAnsi="Calibri"/>
                <w:color w:val="000000"/>
                <w:sz w:val="22"/>
              </w:rPr>
              <w:t xml:space="preserve">200,000</w:t>
            </w:r>
          </w:p>
        </w:tc>
        <w:tc>
          <w:tcPr>
            <w:vAlign w:val="bottom"/>
          </w:tcPr>
          <w:p>
            <w:pPr>
              <w:spacing w:beforeAutospacing="true" w:afterAutospacing="true"/>
              <w:jc w:val="right"/>
            </w:pPr>
            <w:r>
              <w:rPr>
                <w:rFonts w:ascii="Calibri" w:hAnsi="Calibri"/>
                <w:color w:val="000000"/>
                <w:sz w:val="22"/>
              </w:rPr>
              <w:t xml:space="preserve">2,216,188</w:t>
            </w:r>
          </w:p>
        </w:tc>
        <w:tc>
          <w:tcPr>
            <w:vAlign w:val="bottom"/>
          </w:tcPr>
          <w:p>
            <w:pPr>
              <w:spacing w:beforeAutospacing="true" w:afterAutospacing="true"/>
              <w:jc w:val="right"/>
            </w:pPr>
            <w:r>
              <w:rPr>
                <w:rFonts w:ascii="Calibri" w:hAnsi="Calibri"/>
                <w:color w:val="000000"/>
                <w:sz w:val="22"/>
              </w:rPr>
              <w:t xml:space="preserve">4,170,639</w:t>
            </w:r>
          </w:p>
        </w:tc>
        <w:tc>
          <w:tcPr>
            <w:vAlign w:val="bottom"/>
          </w:tcPr>
          <w:p>
            <w:pPr>
              <w:spacing w:beforeAutospacing="true" w:afterAutospacing="true"/>
              <w:jc w:val="right"/>
            </w:pPr>
            <w:r>
              <w:rPr>
                <w:rFonts w:ascii="Calibri" w:hAnsi="Calibri"/>
                <w:color w:val="000000"/>
                <w:sz w:val="22"/>
              </w:rPr>
              <w:t xml:space="preserve">0</w:t>
            </w:r>
          </w:p>
        </w:tc>
        <w:tc>
          <w:tcPr>
            <w:vAlign w:val="top"/>
          </w:tcPr>
          <w:p>
            <w:pPr>
              <w:spacing w:beforeAutospacing="true" w:afterAutospacing="true"/>
              <w:jc w:val="left"/>
            </w:pPr>
            <w:r>
              <w:rPr>
                <w:rFonts w:ascii="Calibri" w:hAnsi="Calibri"/>
                <w:color w:val="000000"/>
                <w:sz w:val="22"/>
              </w:rPr>
              <w:t xml:space="preserve">Salt Lake County has excessive overlap of match from previous years, see 2018 match report</w:t>
            </w:r>
          </w:p>
        </w:tc>
      </w:tr>
      <w:tr>
        <w:trPr>
          <w:cantSplit w:val="true"/>
        </w:trPr>
        <w:tc>
          <w:tcPr>
            <w:vAlign w:val="top"/>
          </w:tcPr>
          <w:p>
            <w:pPr>
              <w:spacing w:beforeAutospacing="true" w:afterAutospacing="true"/>
              <w:jc w:val="left"/>
            </w:pPr>
            <w:r>
              <w:rPr>
                <w:rFonts w:ascii="Calibri" w:hAnsi="Calibri"/>
                <w:color w:val="000000"/>
                <w:sz w:val="22"/>
              </w:rPr>
              <w:t xml:space="preserve">ESG</w:t>
            </w:r>
          </w:p>
        </w:tc>
        <w:tc>
          <w:tcPr>
            <w:vAlign w:val="top"/>
          </w:tcPr>
          <w:p>
            <w:pPr>
              <w:spacing w:beforeAutospacing="true" w:afterAutospacing="true"/>
              <w:jc w:val="left"/>
            </w:pPr>
            <w:r>
              <w:rPr>
                <w:rFonts w:ascii="Calibri" w:hAnsi="Calibri"/>
                <w:color w:val="000000"/>
                <w:sz w:val="22"/>
              </w:rPr>
              <w:t xml:space="preserve">public - federal</w:t>
            </w:r>
          </w:p>
        </w:tc>
        <w:tc>
          <w:tcPr>
            <w:vAlign w:val="top"/>
          </w:tcPr>
          <w:p>
            <w:pPr>
              <w:spacing w:beforeAutospacing="true" w:afterAutospacing="true"/>
              <w:jc w:val="left"/>
            </w:pPr>
            <w:r>
              <w:rPr>
                <w:rFonts w:ascii="Calibri" w:hAnsi="Calibri"/>
                <w:color w:val="000000"/>
                <w:sz w:val="22"/>
              </w:rPr>
              <w:t xml:space="preserve">Conversion and rehab for transitional housing</w:t>
            </w:r>
            <w:r>
              <w:rPr>
                <w:rFonts w:ascii="Calibri" w:hAnsi="Calibri"/>
                <w:color w:val="000000"/>
                <w:sz w:val="22"/>
              </w:rPr>
              <w:br/>
              <w:t xml:space="preserve"/>
            </w:r>
            <w:r>
              <w:rPr>
                <w:rFonts w:ascii="Calibri" w:hAnsi="Calibri"/>
                <w:color w:val="000000"/>
                <w:sz w:val="22"/>
              </w:rPr>
              <w:t xml:space="preserve">Financial Assistance</w:t>
            </w:r>
            <w:r>
              <w:rPr>
                <w:rFonts w:ascii="Calibri" w:hAnsi="Calibri"/>
                <w:color w:val="000000"/>
                <w:sz w:val="22"/>
              </w:rPr>
              <w:br/>
              <w:t xml:space="preserve"/>
            </w:r>
            <w:r>
              <w:rPr>
                <w:rFonts w:ascii="Calibri" w:hAnsi="Calibri"/>
                <w:color w:val="000000"/>
                <w:sz w:val="22"/>
              </w:rPr>
              <w:t xml:space="preserve">Overnight shelter</w:t>
            </w:r>
            <w:r>
              <w:rPr>
                <w:rFonts w:ascii="Calibri" w:hAnsi="Calibri"/>
                <w:color w:val="000000"/>
                <w:sz w:val="22"/>
              </w:rPr>
              <w:br/>
              <w:t xml:space="preserve"/>
            </w:r>
            <w:r>
              <w:rPr>
                <w:rFonts w:ascii="Calibri" w:hAnsi="Calibri"/>
                <w:color w:val="000000"/>
                <w:sz w:val="22"/>
              </w:rPr>
              <w:t xml:space="preserve">Rapid re-housing (rental assistance)</w:t>
            </w:r>
            <w:r>
              <w:rPr>
                <w:rFonts w:ascii="Calibri" w:hAnsi="Calibri"/>
                <w:color w:val="000000"/>
                <w:sz w:val="22"/>
              </w:rPr>
              <w:br/>
              <w:t xml:space="preserve"/>
            </w:r>
            <w:r>
              <w:rPr>
                <w:rFonts w:ascii="Calibri" w:hAnsi="Calibri"/>
                <w:color w:val="000000"/>
                <w:sz w:val="22"/>
              </w:rPr>
              <w:t xml:space="preserve">Rental Assistance</w:t>
            </w:r>
            <w:r>
              <w:rPr>
                <w:rFonts w:ascii="Calibri" w:hAnsi="Calibri"/>
                <w:color w:val="000000"/>
                <w:sz w:val="22"/>
              </w:rPr>
              <w:br/>
              <w:t xml:space="preserve"/>
            </w:r>
            <w:r>
              <w:rPr>
                <w:rFonts w:ascii="Calibri" w:hAnsi="Calibri"/>
                <w:color w:val="000000"/>
                <w:sz w:val="22"/>
              </w:rPr>
              <w:t xml:space="preserve">Services</w:t>
            </w:r>
            <w:r>
              <w:rPr>
                <w:rFonts w:ascii="Calibri" w:hAnsi="Calibri"/>
                <w:color w:val="000000"/>
                <w:sz w:val="22"/>
              </w:rPr>
              <w:br/>
              <w:t xml:space="preserve"/>
            </w:r>
            <w:r>
              <w:rPr>
                <w:rFonts w:ascii="Calibri" w:hAnsi="Calibri"/>
                <w:color w:val="000000"/>
                <w:sz w:val="22"/>
              </w:rPr>
              <w:t xml:space="preserve">Transitional housing</w:t>
            </w:r>
          </w:p>
        </w:tc>
        <w:tc>
          <w:tcPr>
            <w:vAlign w:val="bottom"/>
          </w:tcPr>
          <w:p>
            <w:pPr>
              <w:spacing w:beforeAutospacing="true" w:afterAutospacing="true"/>
              <w:jc w:val="right"/>
            </w:pPr>
            <w:r>
              <w:rPr>
                <w:rFonts w:ascii="Calibri" w:hAnsi="Calibri"/>
                <w:color w:val="000000"/>
                <w:sz w:val="22"/>
              </w:rPr>
              <w:t xml:space="preserve">217,817</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217,817</w:t>
            </w:r>
          </w:p>
        </w:tc>
        <w:tc>
          <w:tcPr>
            <w:vAlign w:val="bottom"/>
          </w:tcPr>
          <w:p>
            <w:pPr>
              <w:spacing w:beforeAutospacing="true" w:afterAutospacing="true"/>
              <w:jc w:val="right"/>
            </w:pPr>
            <w:r>
              <w:rPr>
                <w:rFonts w:ascii="Calibri" w:hAnsi="Calibri"/>
                <w:color w:val="000000"/>
                <w:sz w:val="22"/>
              </w:rPr>
              <w:t xml:space="preserve">0</w:t>
            </w:r>
          </w:p>
        </w:tc>
        <w:tc>
          <w:tcPr>
            <w:vAlign w:val="top"/>
          </w:tcPr>
          <w:p>
            <w:pPr>
              <w:spacing w:beforeAutospacing="true" w:afterAutospacing="true"/>
              <w:jc w:val="left"/>
            </w:pPr>
            <w:r>
              <w:rPr>
                <w:rFonts w:ascii="Calibri" w:hAnsi="Calibri"/>
                <w:color w:val="000000"/>
                <w:sz w:val="22"/>
              </w:rPr>
              <w:t xml:space="preserve">  </w:t>
            </w:r>
          </w:p>
        </w:tc>
      </w:tr>
    </w:tbl>
    <w:p>
      <w:pPr>
        <w:pStyle w:val="Caption"/>
        <w:jc w:val="center"/>
        <w:rPr>
          <w:rFonts w:asciiTheme="minorHAnsi" w:hAnsiTheme="minorHAnsi"/>
        </w:rPr>
      </w:pPr>
      <w:r>
        <w:rPr>
          <w:rFonts w:asciiTheme="minorHAnsi" w:hAnsiTheme="minorHAnsi"/>
        </w:rPr>
        <w:t xml:space="preserve">Table </w:t>
        <w:fldChar w:fldCharType="begin"/>
        <w:instrText xml:space="preserve"> SEQ Table \* ARABIC </w:instrText>
        <w:fldChar w:fldCharType="separate"/>
        <w:t>24</w:t>
        <w:fldChar w:fldCharType="end"/>
        <w:t xml:space="preserve"> - Expected Resources – Priority Table</w:t>
      </w:r>
    </w:p>
    <w:p>
      <w:pPr>
        <w:spacing w:after="0" w:line="240" w:lineRule="auto"/>
        <w:rPr>
          <w:b/>
          <w:sz w:val="24"/>
          <w:szCs w:val="24"/>
        </w:rPr>
      </w:pPr>
    </w:p>
    <w:p>
      <w:pPr>
        <w:widowControl w:val="false"/>
        <w:rPr>
          <w:b/>
          <w:sz w:val="24"/>
          <w:szCs w:val="24"/>
        </w:rPr>
      </w:pPr>
      <w:r>
        <w:rPr>
          <w:b/>
          <w:sz w:val="24"/>
          <w:szCs w:val="24"/>
        </w:rPr>
        <w:t>Explain how federal funds will leverage those additional resources (private, state and local funds), including a description of how matching requirements will be satisfied</w:t>
      </w:r>
    </w:p>
    <w:p>
      <w:pPr>
        <w:widowControl w:val="false"/>
        <w:spacing w:beforeAutospacing="true" w:afterAutospacing="true"/>
        <w:rPr>
          <w:szCs w:val="24"/>
        </w:rPr>
      </w:pPr>
      <w:r>
        <w:rPr/>
        <w:t xml:space="preserve">Salt Lake County provides a match from general funds for the amount of $200,000 to help meet the match requirements of the HOME Investment Partnership Program. The additional match requirement of over $750,000 from the Federal Home Loan Grant we received in 2019 to fund the retrofit of 35 homes as part of the aging in palace program.</w:t>
      </w:r>
    </w:p>
    <w:p>
      <w:pPr>
        <w:keepNext/>
        <w:widowControl w:val="false"/>
        <w:rPr>
          <w:b/>
          <w:sz w:val="24"/>
          <w:szCs w:val="24"/>
        </w:rPr>
        <w:sectPr>
          <w:headerReference r:id="rId19" w:type="even"/>
          <w:headerReference r:id="rId20" w:type="default"/>
          <w:footerReference r:id="rId21" w:type="even"/>
          <w:headerReference r:id="rId22" w:type="first"/>
          <w:footerReference r:id="rId23" w:type="first"/>
          <w:pgSz w:w="15840" w:h="12240" w:orient="landscape" w:code="1"/>
          <w:pgMar w:top="1440" w:right="1440" w:bottom="1440" w:left="1440" w:header="720" w:footer="720" w:gutter="0"/>
          <w:cols w:space="720"/>
          <w:docGrid w:linePitch="360"/>
        </w:sectPr>
      </w:pPr>
    </w:p>
    <w:p>
      <w:pPr>
        <w:keepNext/>
        <w:widowControl w:val="false"/>
        <w:rPr>
          <w:b/>
          <w:sz w:val="24"/>
          <w:szCs w:val="24"/>
        </w:rPr>
      </w:pPr>
      <w:r>
        <w:rPr>
          <w:b/>
          <w:sz w:val="24"/>
          <w:szCs w:val="24"/>
        </w:rPr>
        <w:t>If appropriate, describe publically owned land or property located within the jurisdiction that may be used to address the needs identified in the plan</w:t>
      </w:r>
    </w:p>
    <w:p>
      <w:pPr>
        <w:keepNext/>
        <w:widowControl w:val="false"/>
        <w:spacing w:beforeAutospacing="true" w:afterAutospacing="true"/>
        <w:rPr>
          <w:szCs w:val="24"/>
        </w:rPr>
      </w:pPr>
      <w:r>
        <w:rPr/>
        <w:t xml:space="preserve">not applicable</w:t>
      </w:r>
    </w:p>
    <w:p>
      <w:pPr>
        <w:rPr>
          <w:b/>
          <w:sz w:val="24"/>
          <w:szCs w:val="24"/>
        </w:rPr>
      </w:pPr>
      <w:r>
        <w:rPr>
          <w:b/>
          <w:sz w:val="24"/>
          <w:szCs w:val="24"/>
        </w:rPr>
        <w:t>Discussion</w:t>
      </w:r>
    </w:p>
    <w:p>
      <w:pPr>
        <w:spacing w:beforeAutospacing="true" w:afterAutospacing="true"/>
      </w:pPr>
      <w:r>
        <w:rPr/>
        <w:t xml:space="preserve">The impact of COVID 19 occured at the end of the process to allocate 2020 funds. Salt Lake County will begin the implementation of the COVID 19 CDBG, ESG funding around the end of June. The plan for the use of these funds will be placed in the substantial amendment to 2019 action plan. As we better understand the impact of COVID 19 we may need to adjust the use of 2020 funding to meet critical needs caused by the impact of COVID 19</w:t>
      </w:r>
    </w:p>
    <w:p>
      <w:pPr>
        <w:pStyle w:val="Heading1"/>
        <w:pageBreakBefore/>
        <w:jc w:val="center"/>
        <w:rPr>
          <w:rFonts w:ascii="Calibri" w:hAnsi="Calibri"/>
          <w:color w:val="auto"/>
          <w:sz w:val="32"/>
          <w:szCs w:val="32"/>
        </w:rPr>
        <w:sectPr>
          <w:pgSz w:w="12240" w:h="15840" w:code="1"/>
          <w:pgMar w:top="1440" w:right="1440" w:bottom="1440" w:left="1440" w:header="720" w:footer="720" w:gutter="0"/>
          <w:cols w:space="720"/>
          <w:docGrid w:linePitch="360"/>
        </w:sectPr>
      </w:pPr>
    </w:p>
    <w:p>
      <w:pPr>
        <w:pStyle w:val="Heading1"/>
        <w:pageBreakBefore/>
        <w:jc w:val="center"/>
        <w:rPr>
          <w:rFonts w:ascii="Calibri" w:hAnsi="Calibri"/>
          <w:color w:val="auto"/>
          <w:sz w:val="32"/>
          <w:szCs w:val="32"/>
        </w:rPr>
      </w:pPr>
      <w:r>
        <w:rPr>
          <w:rFonts w:ascii="Calibri" w:hAnsi="Calibri"/>
          <w:color w:val="auto"/>
          <w:sz w:val="32"/>
          <w:szCs w:val="32"/>
        </w:rPr>
        <w:t>Annual Goals and Objectives</w:t>
      </w:r>
    </w:p>
    <w:p>
      <w:pPr>
        <w:rPr>
          <w:b/>
          <w:sz w:val="28"/>
          <w:szCs w:val="28"/>
        </w:rPr>
      </w:pPr>
      <w:r>
        <w:rPr>
          <w:b/>
          <w:sz w:val="28"/>
          <w:szCs w:val="28"/>
        </w:rPr>
        <w:t>AP-20 Annual Goals and Objectives - 91.420, 91.220(c)(3)&amp;(e)</w:t>
      </w:r>
    </w:p>
    <w:p>
      <w:pPr>
        <w:keepNext/>
        <w:widowControl w:val="false"/>
        <w:rPr>
          <w:b/>
          <w:sz w:val="24"/>
          <w:szCs w:val="24"/>
        </w:rPr>
      </w:pPr>
      <w:r>
        <w:rPr>
          <w:b/>
          <w:sz w:val="24"/>
          <w:szCs w:val="24"/>
        </w:rPr>
        <w:t xml:space="preserve">Goals Summary Information </w:t>
      </w:r>
    </w:p>
    <w:tbl>
      <w:tblPr>
        <w:tblW w:w="5342" w:type="pct"/>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firstRow="1" w:lastRow="1" w:firstColumn="1" w:lastColumn="1" w:noHBand="0" w:noVBand="0" w:val="01E0"/>
      </w:tblPr>
      <w:tblGrid>
        <w:gridCol w:w="1795"/>
        <w:gridCol w:w="1796"/>
        <w:gridCol w:w="620"/>
        <w:gridCol w:w="591"/>
        <w:gridCol w:w="1233"/>
        <w:gridCol w:w="1286"/>
        <w:gridCol w:w="1171"/>
        <w:gridCol w:w="2328"/>
        <w:gridCol w:w="3257"/>
      </w:tblGrid>
      <w:tr>
        <w:trPr>
          <w:cantSplit/>
          <w:trHeight w:val="486"/>
          <w:tblHeader/>
        </w:trPr>
        <w:tc>
          <w:tcPr>
            <w:tcW w:w="1808" w:type="dxa"/>
            <w:tcBorders>
              <w:top w:val="single" w:color="auto" w:sz="4" w:space="0"/>
              <w:left w:val="single" w:color="auto" w:sz="4" w:space="0"/>
              <w:bottom w:val="single" w:color="auto" w:sz="4" w:space="0"/>
              <w:right w:val="single" w:color="auto" w:sz="4" w:space="0"/>
            </w:tcBorders>
            <w:hideMark/>
          </w:tcPr>
          <w:p>
            <w:pPr>
              <w:keepNext/>
              <w:widowControl w:val="false"/>
              <w:spacing w:after="0" w:line="240" w:lineRule="auto"/>
              <w:jc w:val="center"/>
              <w:rPr>
                <w:b/>
                <w:sz w:val="20"/>
                <w:szCs w:val="20"/>
              </w:rPr>
            </w:pPr>
            <w:r>
              <w:rPr>
                <w:b/>
                <w:sz w:val="20"/>
                <w:szCs w:val="20"/>
              </w:rPr>
              <w:t>Sort Order</w:t>
            </w:r>
          </w:p>
        </w:tc>
        <w:tc>
          <w:tcPr>
            <w:tcW w:w="1809" w:type="dxa"/>
            <w:tcBorders>
              <w:top w:val="single" w:color="auto" w:sz="4" w:space="0"/>
              <w:left w:val="single" w:color="auto" w:sz="4" w:space="0"/>
              <w:bottom w:val="single" w:color="auto" w:sz="4" w:space="0"/>
              <w:right w:val="single" w:color="auto" w:sz="4" w:space="0"/>
            </w:tcBorders>
            <w:hideMark/>
          </w:tcPr>
          <w:p>
            <w:pPr>
              <w:keepNext/>
              <w:widowControl w:val="false"/>
              <w:spacing w:after="0" w:line="240" w:lineRule="auto"/>
              <w:jc w:val="center"/>
              <w:rPr>
                <w:b/>
                <w:sz w:val="20"/>
                <w:szCs w:val="20"/>
              </w:rPr>
            </w:pPr>
            <w:r>
              <w:rPr>
                <w:b/>
                <w:sz w:val="20"/>
                <w:szCs w:val="20"/>
              </w:rPr>
              <w:t>Goal Name</w:t>
            </w:r>
          </w:p>
        </w:tc>
        <w:tc>
          <w:tcPr>
            <w:tcW w:w="582" w:type="dxa"/>
            <w:tcBorders>
              <w:top w:val="single" w:color="auto" w:sz="4" w:space="0"/>
              <w:left w:val="single" w:color="auto" w:sz="4" w:space="0"/>
              <w:bottom w:val="single" w:color="auto" w:sz="4" w:space="0"/>
              <w:right w:val="single" w:color="auto" w:sz="4" w:space="0"/>
            </w:tcBorders>
            <w:hideMark/>
          </w:tcPr>
          <w:p>
            <w:pPr>
              <w:keepNext/>
              <w:widowControl w:val="false"/>
              <w:spacing w:after="0" w:line="240" w:lineRule="auto"/>
              <w:jc w:val="center"/>
              <w:rPr>
                <w:b/>
                <w:sz w:val="20"/>
                <w:szCs w:val="20"/>
              </w:rPr>
            </w:pPr>
            <w:r>
              <w:rPr>
                <w:b/>
                <w:sz w:val="20"/>
                <w:szCs w:val="20"/>
              </w:rPr>
              <w:t>Start Year</w:t>
            </w:r>
          </w:p>
        </w:tc>
        <w:tc>
          <w:tcPr>
            <w:tcW w:w="555" w:type="dxa"/>
            <w:tcBorders>
              <w:top w:val="single" w:color="auto" w:sz="4" w:space="0"/>
              <w:left w:val="single" w:color="auto" w:sz="4" w:space="0"/>
              <w:bottom w:val="single" w:color="auto" w:sz="4" w:space="0"/>
              <w:right w:val="single" w:color="auto" w:sz="4" w:space="0"/>
            </w:tcBorders>
            <w:hideMark/>
          </w:tcPr>
          <w:p>
            <w:pPr>
              <w:keepNext/>
              <w:widowControl w:val="false"/>
              <w:spacing w:after="0" w:line="240" w:lineRule="auto"/>
              <w:jc w:val="center"/>
              <w:rPr>
                <w:b/>
                <w:sz w:val="20"/>
                <w:szCs w:val="20"/>
              </w:rPr>
            </w:pPr>
            <w:r>
              <w:rPr>
                <w:b/>
                <w:sz w:val="20"/>
                <w:szCs w:val="20"/>
              </w:rPr>
              <w:t>End Year</w:t>
            </w:r>
          </w:p>
        </w:tc>
        <w:tc>
          <w:tcPr>
            <w:tcW w:w="1236" w:type="dxa"/>
            <w:tcBorders>
              <w:top w:val="single" w:color="auto" w:sz="4" w:space="0"/>
              <w:left w:val="single" w:color="auto" w:sz="4" w:space="0"/>
              <w:bottom w:val="single" w:color="auto" w:sz="4" w:space="0"/>
              <w:right w:val="single" w:color="auto" w:sz="4" w:space="0"/>
            </w:tcBorders>
            <w:hideMark/>
          </w:tcPr>
          <w:p>
            <w:pPr>
              <w:keepNext/>
              <w:widowControl w:val="false"/>
              <w:spacing w:after="0" w:line="240" w:lineRule="auto"/>
              <w:jc w:val="center"/>
              <w:rPr>
                <w:b/>
                <w:sz w:val="20"/>
                <w:szCs w:val="20"/>
              </w:rPr>
            </w:pPr>
            <w:r>
              <w:rPr>
                <w:b/>
                <w:sz w:val="20"/>
                <w:szCs w:val="20"/>
              </w:rPr>
              <w:t>Category</w:t>
            </w:r>
          </w:p>
        </w:tc>
        <w:tc>
          <w:tcPr>
            <w:tcW w:w="1287" w:type="dxa"/>
            <w:tcBorders>
              <w:top w:val="single" w:color="auto" w:sz="4" w:space="0"/>
              <w:left w:val="single" w:color="auto" w:sz="4" w:space="0"/>
              <w:bottom w:val="single" w:color="auto" w:sz="4" w:space="0"/>
              <w:right w:val="single" w:color="auto" w:sz="4" w:space="0"/>
            </w:tcBorders>
            <w:hideMark/>
          </w:tcPr>
          <w:p>
            <w:pPr>
              <w:keepNext/>
              <w:widowControl w:val="false"/>
              <w:spacing w:after="0" w:line="240" w:lineRule="auto"/>
              <w:jc w:val="center"/>
              <w:rPr>
                <w:b/>
                <w:sz w:val="20"/>
                <w:szCs w:val="20"/>
              </w:rPr>
            </w:pPr>
            <w:r>
              <w:rPr>
                <w:b/>
                <w:sz w:val="20"/>
                <w:szCs w:val="20"/>
              </w:rPr>
              <w:t>Geographic Area</w:t>
            </w:r>
          </w:p>
        </w:tc>
        <w:tc>
          <w:tcPr>
            <w:tcW w:w="1172" w:type="dxa"/>
            <w:tcBorders>
              <w:top w:val="single" w:color="auto" w:sz="4" w:space="0"/>
              <w:left w:val="single" w:color="auto" w:sz="4" w:space="0"/>
              <w:bottom w:val="single" w:color="auto" w:sz="4" w:space="0"/>
              <w:right w:val="single" w:color="auto" w:sz="4" w:space="0"/>
            </w:tcBorders>
            <w:hideMark/>
          </w:tcPr>
          <w:p>
            <w:pPr>
              <w:keepNext/>
              <w:widowControl w:val="false"/>
              <w:spacing w:after="0" w:line="240" w:lineRule="auto"/>
              <w:jc w:val="center"/>
              <w:rPr>
                <w:b/>
                <w:sz w:val="20"/>
                <w:szCs w:val="20"/>
              </w:rPr>
            </w:pPr>
            <w:r>
              <w:rPr>
                <w:b/>
                <w:sz w:val="20"/>
                <w:szCs w:val="20"/>
              </w:rPr>
              <w:t>Needs Addressed</w:t>
            </w:r>
          </w:p>
        </w:tc>
        <w:tc>
          <w:tcPr>
            <w:tcW w:w="2345" w:type="dxa"/>
            <w:tcBorders>
              <w:top w:val="single" w:color="auto" w:sz="4" w:space="0"/>
              <w:left w:val="single" w:color="auto" w:sz="4" w:space="0"/>
              <w:bottom w:val="single" w:color="auto" w:sz="4" w:space="0"/>
              <w:right w:val="single" w:color="auto" w:sz="4" w:space="0"/>
            </w:tcBorders>
            <w:hideMark/>
          </w:tcPr>
          <w:p>
            <w:pPr>
              <w:keepNext/>
              <w:widowControl w:val="false"/>
              <w:spacing w:after="0" w:line="240" w:lineRule="auto"/>
              <w:jc w:val="center"/>
              <w:rPr>
                <w:b/>
                <w:sz w:val="20"/>
                <w:szCs w:val="20"/>
              </w:rPr>
            </w:pPr>
            <w:r>
              <w:rPr>
                <w:b/>
                <w:sz w:val="20"/>
                <w:szCs w:val="20"/>
              </w:rPr>
              <w:t>Funding</w:t>
            </w:r>
          </w:p>
        </w:tc>
        <w:tc>
          <w:tcPr>
            <w:tcW w:w="3283" w:type="dxa"/>
            <w:tcBorders>
              <w:top w:val="single" w:color="auto" w:sz="4" w:space="0"/>
              <w:left w:val="single" w:color="auto" w:sz="4" w:space="0"/>
              <w:bottom w:val="single" w:color="auto" w:sz="4" w:space="0"/>
              <w:right w:val="single" w:color="auto" w:sz="4" w:space="0"/>
            </w:tcBorders>
            <w:hideMark/>
          </w:tcPr>
          <w:p>
            <w:pPr>
              <w:keepNext/>
              <w:widowControl w:val="false"/>
              <w:spacing w:after="0" w:line="240" w:lineRule="auto"/>
              <w:jc w:val="center"/>
              <w:rPr>
                <w:b/>
                <w:sz w:val="20"/>
                <w:szCs w:val="20"/>
              </w:rPr>
            </w:pPr>
            <w:r>
              <w:rPr>
                <w:b/>
                <w:sz w:val="20"/>
                <w:szCs w:val="20"/>
              </w:rPr>
              <w:t>Goal Outcome Indicator</w:t>
            </w:r>
          </w:p>
        </w:tc>
      </w:tr>
      <w:tr>
        <w:trPr>
          <w:cantSplit/>
          <w:trHeight w:val="251"/>
          <w:tblHeader/>
        </w:trPr>
        <w:tc>
          <w:tcPr>
            <w:tcW w:w="1808" w:type="dxa"/>
            <w:tcBorders>
              <w:top w:val="single" w:color="auto" w:sz="4" w:space="0"/>
              <w:left w:val="single" w:color="auto" w:sz="4" w:space="0"/>
              <w:bottom w:val="single" w:color="auto" w:sz="4" w:space="0"/>
              <w:right w:val="single" w:color="auto" w:sz="4" w:space="0"/>
            </w:tcBorders>
          </w:tcPr>
          <w:p>
            <w:pPr>
              <w:keepNext/>
              <w:widowControl w:val="false"/>
              <w:spacing w:after="0" w:line="240" w:lineRule="auto"/>
              <w:jc w:val="center"/>
              <w:rPr>
                <w:b/>
                <w:sz w:val="20"/>
                <w:szCs w:val="20"/>
              </w:rPr>
            </w:pPr>
          </w:p>
        </w:tc>
        <w:tc>
          <w:tcPr>
            <w:tcW w:w="1809" w:type="dxa"/>
            <w:tcBorders>
              <w:top w:val="single" w:color="auto" w:sz="4" w:space="0"/>
              <w:left w:val="single" w:color="auto" w:sz="4" w:space="0"/>
              <w:bottom w:val="single" w:color="auto" w:sz="4" w:space="0"/>
              <w:right w:val="single" w:color="auto" w:sz="4" w:space="0"/>
            </w:tcBorders>
          </w:tcPr>
          <w:p>
            <w:pPr>
              <w:keepNext/>
              <w:widowControl w:val="false"/>
              <w:spacing w:after="0" w:line="240" w:lineRule="auto"/>
              <w:jc w:val="center"/>
              <w:rPr>
                <w:b/>
                <w:sz w:val="20"/>
                <w:szCs w:val="20"/>
              </w:rPr>
            </w:pPr>
          </w:p>
        </w:tc>
        <w:tc>
          <w:tcPr>
            <w:tcW w:w="582" w:type="dxa"/>
            <w:tcBorders>
              <w:top w:val="single" w:color="auto" w:sz="4" w:space="0"/>
              <w:left w:val="single" w:color="auto" w:sz="4" w:space="0"/>
              <w:bottom w:val="single" w:color="auto" w:sz="4" w:space="0"/>
              <w:right w:val="single" w:color="auto" w:sz="4" w:space="0"/>
            </w:tcBorders>
          </w:tcPr>
          <w:p>
            <w:pPr>
              <w:keepNext/>
              <w:widowControl w:val="false"/>
              <w:spacing w:after="0" w:line="240" w:lineRule="auto"/>
              <w:jc w:val="center"/>
              <w:rPr>
                <w:b/>
                <w:sz w:val="20"/>
                <w:szCs w:val="20"/>
              </w:rPr>
            </w:pPr>
          </w:p>
        </w:tc>
        <w:tc>
          <w:tcPr>
            <w:tcW w:w="555" w:type="dxa"/>
            <w:tcBorders>
              <w:top w:val="single" w:color="auto" w:sz="4" w:space="0"/>
              <w:left w:val="single" w:color="auto" w:sz="4" w:space="0"/>
              <w:bottom w:val="single" w:color="auto" w:sz="4" w:space="0"/>
              <w:right w:val="single" w:color="auto" w:sz="4" w:space="0"/>
            </w:tcBorders>
          </w:tcPr>
          <w:p>
            <w:pPr>
              <w:keepNext/>
              <w:widowControl w:val="false"/>
              <w:spacing w:after="0" w:line="240" w:lineRule="auto"/>
              <w:jc w:val="center"/>
              <w:rPr>
                <w:b/>
                <w:sz w:val="20"/>
                <w:szCs w:val="20"/>
              </w:rPr>
            </w:pPr>
          </w:p>
        </w:tc>
        <w:tc>
          <w:tcPr>
            <w:tcW w:w="1236" w:type="dxa"/>
            <w:tcBorders>
              <w:top w:val="single" w:color="auto" w:sz="4" w:space="0"/>
              <w:left w:val="single" w:color="auto" w:sz="4" w:space="0"/>
              <w:bottom w:val="single" w:color="auto" w:sz="4" w:space="0"/>
              <w:right w:val="single" w:color="auto" w:sz="4" w:space="0"/>
            </w:tcBorders>
          </w:tcPr>
          <w:p>
            <w:pPr>
              <w:keepNext/>
              <w:widowControl w:val="false"/>
              <w:spacing w:after="0" w:line="240" w:lineRule="auto"/>
              <w:jc w:val="center"/>
              <w:rPr>
                <w:b/>
                <w:sz w:val="20"/>
                <w:szCs w:val="20"/>
              </w:rPr>
            </w:pPr>
          </w:p>
        </w:tc>
        <w:tc>
          <w:tcPr>
            <w:tcW w:w="1287" w:type="dxa"/>
            <w:tcBorders>
              <w:top w:val="single" w:color="auto" w:sz="4" w:space="0"/>
              <w:left w:val="single" w:color="auto" w:sz="4" w:space="0"/>
              <w:bottom w:val="single" w:color="auto" w:sz="4" w:space="0"/>
              <w:right w:val="single" w:color="auto" w:sz="4" w:space="0"/>
            </w:tcBorders>
          </w:tcPr>
          <w:p>
            <w:pPr>
              <w:keepNext/>
              <w:widowControl w:val="false"/>
              <w:spacing w:after="0" w:line="240" w:lineRule="auto"/>
              <w:jc w:val="center"/>
              <w:rPr>
                <w:b/>
                <w:sz w:val="20"/>
                <w:szCs w:val="20"/>
              </w:rPr>
            </w:pPr>
          </w:p>
        </w:tc>
        <w:tc>
          <w:tcPr>
            <w:tcW w:w="1172" w:type="dxa"/>
            <w:tcBorders>
              <w:top w:val="single" w:color="auto" w:sz="4" w:space="0"/>
              <w:left w:val="single" w:color="auto" w:sz="4" w:space="0"/>
              <w:bottom w:val="single" w:color="auto" w:sz="4" w:space="0"/>
              <w:right w:val="single" w:color="auto" w:sz="4" w:space="0"/>
            </w:tcBorders>
          </w:tcPr>
          <w:p>
            <w:pPr>
              <w:keepNext/>
              <w:widowControl w:val="false"/>
              <w:spacing w:after="0" w:line="240" w:lineRule="auto"/>
              <w:jc w:val="center"/>
              <w:rPr>
                <w:b/>
                <w:sz w:val="20"/>
                <w:szCs w:val="20"/>
              </w:rPr>
            </w:pPr>
          </w:p>
        </w:tc>
        <w:tc>
          <w:tcPr>
            <w:tcW w:w="2345" w:type="dxa"/>
            <w:tcBorders>
              <w:top w:val="single" w:color="auto" w:sz="4" w:space="0"/>
              <w:left w:val="single" w:color="auto" w:sz="4" w:space="0"/>
              <w:bottom w:val="single" w:color="auto" w:sz="4" w:space="0"/>
              <w:right w:val="single" w:color="auto" w:sz="4" w:space="0"/>
            </w:tcBorders>
          </w:tcPr>
          <w:p>
            <w:pPr>
              <w:keepNext/>
              <w:widowControl w:val="false"/>
              <w:spacing w:after="0" w:line="240" w:lineRule="auto"/>
              <w:jc w:val="center"/>
              <w:rPr>
                <w:b/>
                <w:sz w:val="20"/>
                <w:szCs w:val="20"/>
              </w:rPr>
            </w:pPr>
          </w:p>
        </w:tc>
        <w:tc>
          <w:tcPr>
            <w:tcW w:w="3283" w:type="dxa"/>
            <w:tcBorders>
              <w:top w:val="single" w:color="auto" w:sz="4" w:space="0"/>
              <w:left w:val="single" w:color="auto" w:sz="4" w:space="0"/>
              <w:bottom w:val="single" w:color="auto" w:sz="4" w:space="0"/>
              <w:right w:val="single" w:color="auto" w:sz="4" w:space="0"/>
            </w:tcBorders>
          </w:tcPr>
          <w:p>
            <w:pPr>
              <w:keepNext/>
              <w:widowControl w:val="false"/>
              <w:spacing w:after="0" w:line="240" w:lineRule="auto"/>
              <w:jc w:val="center"/>
              <w:rPr>
                <w:b/>
                <w:sz w:val="20"/>
                <w:szCs w:val="20"/>
              </w:rPr>
            </w:pPr>
          </w:p>
        </w:tc>
      </w:tr>
    </w:tbl>
    <w:p>
      <w:pPr>
        <w:pStyle w:val="Caption"/>
        <w:jc w:val="center"/>
        <w:rPr>
          <w:rFonts w:asciiTheme="minorHAnsi" w:hAnsiTheme="minorHAnsi"/>
        </w:rPr>
      </w:pPr>
      <w:r>
        <w:rPr>
          <w:rFonts w:asciiTheme="minorHAnsi" w:hAnsiTheme="minorHAnsi"/>
        </w:rPr>
        <w:t xml:space="preserve">Table </w:t>
        <w:fldChar w:fldCharType="begin"/>
        <w:instrText xml:space="preserve"> SEQ Table \* ARABIC </w:instrText>
        <w:fldChar w:fldCharType="separate"/>
        <w:t>25</w:t>
        <w:fldChar w:fldCharType="end"/>
        <w:t xml:space="preserve"> – Goals Summary</w:t>
      </w:r>
    </w:p>
    <w:p/>
    <w:p>
      <w:pPr>
        <w:rPr>
          <w:b/>
          <w:sz w:val="24"/>
          <w:szCs w:val="24"/>
        </w:rPr>
      </w:pPr>
      <w:r>
        <w:rPr>
          <w:b/>
          <w:sz w:val="24"/>
          <w:szCs w:val="24"/>
        </w:rPr>
        <w:t>Goal Descriptions</w:t>
      </w:r>
    </w:p>
    <w:p>
      <w:pPr>
        <w:rPr>
          <w:b/>
          <w:sz w:val="24"/>
          <w:szCs w:val="24"/>
        </w:rPr>
      </w:pPr>
    </w:p>
    <w:tbl>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Pr>
      <w:tblGrid/>
      <w:tr>
        <w:trPr>
          <w:cantSplit w:val="true"/>
        </w:trPr>
        <w:tc>
          <w:tcPr>
            <w:vMerge w:val="restart"/>
          </w:tcPr>
          <w:p>
            <w:pPr>
              <w:keepNext w:val="true"/>
              <w:spacing w:before="100" w:after="0"/>
            </w:pPr>
            <w:r>
              <w:rPr>
                <w:rFonts w:ascii="Calibri" w:hAnsi="Calibri"/>
                <w:b/>
                <w:color w:val="000000"/>
                <w:sz w:val="22"/>
              </w:rPr>
              <w:t xml:space="preserve">1</w:t>
            </w:r>
          </w:p>
        </w:tc>
        <w:tc>
          <w:p>
            <w:pPr>
              <w:keepNext w:val="true"/>
              <w:spacing w:before="100" w:after="0"/>
              <w:rPr>
                <w:b/>
              </w:rPr>
            </w:pPr>
            <w:r>
              <w:rPr>
                <w:b/>
              </w:rPr>
              <w:t>Goal Name</w:t>
            </w:r>
          </w:p>
        </w:tc>
        <w:tc>
          <w:p>
            <w:pPr>
              <w:spacing w:before="100" w:after="0"/>
            </w:pPr>
            <w:r>
              <w:rPr>
                <w:rFonts w:ascii="Calibri" w:hAnsi="Calibri"/>
                <w:color w:val="000000"/>
                <w:sz w:val="22"/>
              </w:rPr>
              <w:t xml:space="preserve">Housing Rehabilitation &amp; Accessibility</w:t>
            </w:r>
          </w:p>
        </w:tc>
      </w:tr>
      <w:tr>
        <w:trPr>
          <w:cantSplit w:val="true"/>
        </w:trPr>
        <w:tc>
          <w:tcPr>
            <w:vMerge/>
          </w:tcPr>
          <w:p/>
        </w:tc>
        <w:tc>
          <w:p>
            <w:pPr>
              <w:keepNext w:val="true"/>
              <w:spacing w:before="100" w:after="0"/>
              <w:rPr>
                <w:b/>
              </w:rPr>
            </w:pPr>
            <w:r>
              <w:rPr>
                <w:b/>
              </w:rPr>
              <w:t>Goal Description</w:t>
            </w:r>
          </w:p>
        </w:tc>
        <w:tc>
          <w:p>
            <w:pPr>
              <w:spacing w:before="100" w:after="0"/>
            </w:pPr>
            <w:r>
              <w:rPr>
                <w:rFonts w:ascii="Calibri" w:hAnsi="Calibri"/>
                <w:color w:val="000000"/>
                <w:sz w:val="22"/>
              </w:rPr>
              <w:t xml:space="preserve">HOME funding will be provided to Community Development Corporation of Utah, Salt Lake Valley Habitat for Humanity, West Valley City, and Assist </w:t>
            </w:r>
          </w:p>
          <w:p>
            <w:pPr>
              <w:spacing w:before="100" w:after="0"/>
            </w:pPr>
            <w:r>
              <w:rPr>
                <w:rFonts w:ascii="Calibri" w:hAnsi="Calibri"/>
                <w:color w:val="000000"/>
                <w:sz w:val="22"/>
              </w:rPr>
              <w:t xml:space="preserve">CDBG funds will be provided to Assist Inc, for an emergency home repair program.</w:t>
            </w:r>
          </w:p>
          <w:p>
            <w:pPr>
              <w:spacing w:before="100" w:after="0"/>
            </w:pPr>
          </w:p>
        </w:tc>
      </w:tr>
      <w:tr>
        <w:trPr>
          <w:cantSplit w:val="true"/>
        </w:trPr>
        <w:tc>
          <w:tcPr>
            <w:vMerge w:val="restart"/>
          </w:tcPr>
          <w:p>
            <w:pPr>
              <w:keepNext w:val="true"/>
              <w:spacing w:before="100" w:after="0"/>
            </w:pPr>
            <w:r>
              <w:rPr>
                <w:rFonts w:ascii="Calibri" w:hAnsi="Calibri"/>
                <w:b/>
                <w:color w:val="000000"/>
                <w:sz w:val="22"/>
              </w:rPr>
              <w:t xml:space="preserve">2</w:t>
            </w:r>
          </w:p>
        </w:tc>
        <w:tc>
          <w:p>
            <w:pPr>
              <w:keepNext w:val="true"/>
              <w:spacing w:before="100" w:after="0"/>
              <w:rPr>
                <w:b/>
              </w:rPr>
            </w:pPr>
            <w:r>
              <w:rPr>
                <w:b/>
              </w:rPr>
              <w:t>Goal Name</w:t>
            </w:r>
          </w:p>
        </w:tc>
        <w:tc>
          <w:p>
            <w:pPr>
              <w:spacing w:before="100" w:after="0"/>
            </w:pPr>
            <w:r>
              <w:rPr>
                <w:rFonts w:ascii="Calibri" w:hAnsi="Calibri"/>
                <w:color w:val="000000"/>
                <w:sz w:val="22"/>
              </w:rPr>
              <w:t xml:space="preserve">Rental Housing</w:t>
            </w:r>
          </w:p>
        </w:tc>
      </w:tr>
      <w:tr>
        <w:trPr>
          <w:cantSplit w:val="true"/>
        </w:trPr>
        <w:tc>
          <w:tcPr>
            <w:vMerge/>
          </w:tcPr>
          <w:p/>
        </w:tc>
        <w:tc>
          <w:p>
            <w:pPr>
              <w:keepNext w:val="true"/>
              <w:spacing w:before="100" w:after="0"/>
              <w:rPr>
                <w:b/>
              </w:rPr>
            </w:pPr>
            <w:r>
              <w:rPr>
                <w:b/>
              </w:rPr>
              <w:t>Goal Description</w:t>
            </w:r>
          </w:p>
        </w:tc>
        <w:tc>
          <w:p>
            <w:pPr>
              <w:spacing w:before="100" w:after="0"/>
            </w:pPr>
            <w:r>
              <w:rPr>
                <w:rFonts w:ascii="Calibri" w:hAnsi="Calibri"/>
                <w:color w:val="000000"/>
                <w:sz w:val="22"/>
              </w:rPr>
              <w:t xml:space="preserve">HOME funds are committed to the Tayslorville Liberty Beacon project $88,457, Magnolia project ($1,000,000) and 144 South project $250,000</w:t>
            </w:r>
          </w:p>
          <w:p>
            <w:pPr>
              <w:spacing w:before="100" w:after="0"/>
            </w:pPr>
            <w:r>
              <w:rPr>
                <w:rFonts w:ascii="Calibri" w:hAnsi="Calibri"/>
                <w:color w:val="000000"/>
                <w:sz w:val="22"/>
              </w:rPr>
              <w:t xml:space="preserve">HOME CHDO set aside funding of $500,000 is committed to a preservation project of 23 duplexes</w:t>
            </w:r>
          </w:p>
          <w:p>
            <w:pPr>
              <w:spacing w:before="100" w:after="0"/>
            </w:pPr>
          </w:p>
        </w:tc>
      </w:tr>
      <w:tr>
        <w:trPr>
          <w:cantSplit w:val="true"/>
        </w:trPr>
        <w:tc>
          <w:tcPr>
            <w:vMerge w:val="restart"/>
          </w:tcPr>
          <w:p>
            <w:pPr>
              <w:keepNext w:val="true"/>
              <w:spacing w:before="100" w:after="0"/>
            </w:pPr>
            <w:r>
              <w:rPr>
                <w:rFonts w:ascii="Calibri" w:hAnsi="Calibri"/>
                <w:b/>
                <w:color w:val="000000"/>
                <w:sz w:val="22"/>
              </w:rPr>
              <w:t xml:space="preserve">3</w:t>
            </w:r>
          </w:p>
        </w:tc>
        <w:tc>
          <w:p>
            <w:pPr>
              <w:keepNext w:val="true"/>
              <w:spacing w:before="100" w:after="0"/>
              <w:rPr>
                <w:b/>
              </w:rPr>
            </w:pPr>
            <w:r>
              <w:rPr>
                <w:b/>
              </w:rPr>
              <w:t>Goal Name</w:t>
            </w:r>
          </w:p>
        </w:tc>
        <w:tc>
          <w:p>
            <w:pPr>
              <w:spacing w:before="100" w:after="0"/>
            </w:pPr>
            <w:r>
              <w:rPr>
                <w:rFonts w:ascii="Calibri" w:hAnsi="Calibri"/>
                <w:color w:val="000000"/>
                <w:sz w:val="22"/>
              </w:rPr>
              <w:t xml:space="preserve">Rental Assistance</w:t>
            </w:r>
          </w:p>
        </w:tc>
      </w:tr>
      <w:tr>
        <w:trPr>
          <w:cantSplit w:val="true"/>
        </w:trPr>
        <w:tc>
          <w:tcPr>
            <w:vMerge/>
          </w:tcPr>
          <w:p/>
        </w:tc>
        <w:tc>
          <w:p>
            <w:pPr>
              <w:keepNext w:val="true"/>
              <w:spacing w:before="100" w:after="0"/>
              <w:rPr>
                <w:b/>
              </w:rPr>
            </w:pPr>
            <w:r>
              <w:rPr>
                <w:b/>
              </w:rPr>
              <w:t>Goal Description</w:t>
            </w:r>
          </w:p>
        </w:tc>
        <w:tc>
          <w:p>
            <w:pPr>
              <w:spacing w:before="100" w:after="0"/>
            </w:pPr>
            <w:r>
              <w:rPr>
                <w:rFonts w:ascii="Calibri" w:hAnsi="Calibri"/>
                <w:color w:val="000000"/>
                <w:sz w:val="22"/>
              </w:rPr>
              <w:t xml:space="preserve">HOME funds are committed to Road Home $300,000 and Housing Connect $250,000 to provide short term rental assistance</w:t>
            </w:r>
          </w:p>
        </w:tc>
      </w:tr>
      <w:tr>
        <w:trPr>
          <w:cantSplit w:val="true"/>
        </w:trPr>
        <w:tc>
          <w:tcPr>
            <w:vMerge w:val="restart"/>
          </w:tcPr>
          <w:p>
            <w:pPr>
              <w:keepNext w:val="true"/>
              <w:spacing w:before="100" w:after="0"/>
            </w:pPr>
            <w:r>
              <w:rPr>
                <w:rFonts w:ascii="Calibri" w:hAnsi="Calibri"/>
                <w:b/>
                <w:color w:val="000000"/>
                <w:sz w:val="22"/>
              </w:rPr>
              <w:t xml:space="preserve">4</w:t>
            </w:r>
          </w:p>
        </w:tc>
        <w:tc>
          <w:p>
            <w:pPr>
              <w:keepNext w:val="true"/>
              <w:spacing w:before="100" w:after="0"/>
              <w:rPr>
                <w:b/>
              </w:rPr>
            </w:pPr>
            <w:r>
              <w:rPr>
                <w:b/>
              </w:rPr>
              <w:t>Goal Name</w:t>
            </w:r>
          </w:p>
        </w:tc>
        <w:tc>
          <w:p>
            <w:pPr>
              <w:spacing w:before="100" w:after="0"/>
            </w:pPr>
            <w:r>
              <w:rPr>
                <w:rFonts w:ascii="Calibri" w:hAnsi="Calibri"/>
                <w:color w:val="000000"/>
                <w:sz w:val="22"/>
              </w:rPr>
              <w:t xml:space="preserve">Homeownership</w:t>
            </w:r>
          </w:p>
        </w:tc>
      </w:tr>
      <w:tr>
        <w:trPr>
          <w:cantSplit w:val="true"/>
        </w:trPr>
        <w:tc>
          <w:tcPr>
            <w:vMerge/>
          </w:tcPr>
          <w:p/>
        </w:tc>
        <w:tc>
          <w:p>
            <w:pPr>
              <w:keepNext w:val="true"/>
              <w:spacing w:before="100" w:after="0"/>
              <w:rPr>
                <w:b/>
              </w:rPr>
            </w:pPr>
            <w:r>
              <w:rPr>
                <w:b/>
              </w:rPr>
              <w:t>Goal Description</w:t>
            </w:r>
          </w:p>
        </w:tc>
        <w:tc>
          <w:p>
            <w:pPr>
              <w:spacing w:before="100" w:after="0"/>
            </w:pPr>
            <w:r>
              <w:rPr>
                <w:rFonts w:ascii="Calibri" w:hAnsi="Calibri"/>
                <w:color w:val="000000"/>
                <w:sz w:val="22"/>
              </w:rPr>
              <w:t xml:space="preserve">West Valley City allocated HOME funds for the adminstration of a downpayment assistnace program</w:t>
            </w:r>
          </w:p>
        </w:tc>
      </w:tr>
      <w:tr>
        <w:trPr>
          <w:cantSplit w:val="true"/>
        </w:trPr>
        <w:tc>
          <w:tcPr>
            <w:vMerge w:val="restart"/>
          </w:tcPr>
          <w:p>
            <w:pPr>
              <w:keepNext w:val="true"/>
              <w:spacing w:before="100" w:after="0"/>
            </w:pPr>
            <w:r>
              <w:rPr>
                <w:rFonts w:ascii="Calibri" w:hAnsi="Calibri"/>
                <w:b/>
                <w:color w:val="000000"/>
                <w:sz w:val="22"/>
              </w:rPr>
              <w:t xml:space="preserve">5</w:t>
            </w:r>
          </w:p>
        </w:tc>
        <w:tc>
          <w:p>
            <w:pPr>
              <w:keepNext w:val="true"/>
              <w:spacing w:before="100" w:after="0"/>
              <w:rPr>
                <w:b/>
              </w:rPr>
            </w:pPr>
            <w:r>
              <w:rPr>
                <w:b/>
              </w:rPr>
              <w:t>Goal Name</w:t>
            </w:r>
          </w:p>
        </w:tc>
        <w:tc>
          <w:p>
            <w:pPr>
              <w:spacing w:before="100" w:after="0"/>
            </w:pPr>
            <w:r>
              <w:rPr>
                <w:rFonts w:ascii="Calibri" w:hAnsi="Calibri"/>
                <w:color w:val="000000"/>
                <w:sz w:val="22"/>
              </w:rPr>
              <w:t xml:space="preserve">Infrastructure</w:t>
            </w:r>
          </w:p>
        </w:tc>
      </w:tr>
      <w:tr>
        <w:trPr>
          <w:cantSplit w:val="true"/>
        </w:trPr>
        <w:tc>
          <w:tcPr>
            <w:vMerge/>
          </w:tcPr>
          <w:p/>
        </w:tc>
        <w:tc>
          <w:p>
            <w:pPr>
              <w:keepNext w:val="true"/>
              <w:spacing w:before="100" w:after="0"/>
              <w:rPr>
                <w:b/>
              </w:rPr>
            </w:pPr>
            <w:r>
              <w:rPr>
                <w:b/>
              </w:rPr>
              <w:t>Goal Description</w:t>
            </w:r>
          </w:p>
        </w:tc>
        <w:tc>
          <w:p>
            <w:pPr>
              <w:spacing w:before="100" w:after="0"/>
            </w:pPr>
            <w:r>
              <w:rPr>
                <w:rFonts w:ascii="Calibri" w:hAnsi="Calibri"/>
                <w:color w:val="000000"/>
                <w:sz w:val="22"/>
              </w:rPr>
              <w:t xml:space="preserve">CDBG funds will be committed to two infrastructure projects, one is in Magna </w:t>
            </w:r>
          </w:p>
        </w:tc>
      </w:tr>
      <w:tr>
        <w:trPr>
          <w:cantSplit w:val="true"/>
        </w:trPr>
        <w:tc>
          <w:tcPr>
            <w:vMerge w:val="restart"/>
          </w:tcPr>
          <w:p>
            <w:pPr>
              <w:keepNext w:val="true"/>
              <w:spacing w:before="100" w:after="0"/>
            </w:pPr>
            <w:r>
              <w:rPr>
                <w:rFonts w:ascii="Calibri" w:hAnsi="Calibri"/>
                <w:b/>
                <w:color w:val="000000"/>
                <w:sz w:val="22"/>
              </w:rPr>
              <w:t xml:space="preserve">6</w:t>
            </w:r>
          </w:p>
        </w:tc>
        <w:tc>
          <w:p>
            <w:pPr>
              <w:keepNext w:val="true"/>
              <w:spacing w:before="100" w:after="0"/>
              <w:rPr>
                <w:b/>
              </w:rPr>
            </w:pPr>
            <w:r>
              <w:rPr>
                <w:b/>
              </w:rPr>
              <w:t>Goal Name</w:t>
            </w:r>
          </w:p>
        </w:tc>
        <w:tc>
          <w:p>
            <w:pPr>
              <w:spacing w:before="100" w:after="0"/>
            </w:pPr>
            <w:r>
              <w:rPr>
                <w:rFonts w:ascii="Calibri" w:hAnsi="Calibri"/>
                <w:color w:val="000000"/>
                <w:sz w:val="22"/>
              </w:rPr>
              <w:t xml:space="preserve">Public facilities</w:t>
            </w:r>
          </w:p>
        </w:tc>
      </w:tr>
      <w:tr>
        <w:trPr>
          <w:cantSplit w:val="true"/>
        </w:trPr>
        <w:tc>
          <w:tcPr>
            <w:vMerge/>
          </w:tcPr>
          <w:p/>
        </w:tc>
        <w:tc>
          <w:p>
            <w:pPr>
              <w:keepNext w:val="true"/>
              <w:spacing w:before="100" w:after="0"/>
              <w:rPr>
                <w:b/>
              </w:rPr>
            </w:pPr>
            <w:r>
              <w:rPr>
                <w:b/>
              </w:rPr>
              <w:t>Goal Description</w:t>
            </w:r>
          </w:p>
        </w:tc>
        <w:tc>
          <w:p>
            <w:pPr>
              <w:spacing w:before="100" w:after="0"/>
            </w:pPr>
            <w:r>
              <w:rPr>
                <w:rFonts w:ascii="Calibri" w:hAnsi="Calibri"/>
                <w:color w:val="000000"/>
                <w:sz w:val="22"/>
              </w:rPr>
              <w:t xml:space="preserve">CDBG funds will be committed to improve public facilities</w:t>
            </w:r>
          </w:p>
        </w:tc>
      </w:tr>
      <w:tr>
        <w:trPr>
          <w:cantSplit w:val="true"/>
        </w:trPr>
        <w:tc>
          <w:tcPr>
            <w:vMerge w:val="restart"/>
          </w:tcPr>
          <w:p>
            <w:pPr>
              <w:keepNext w:val="true"/>
              <w:spacing w:before="100" w:after="0"/>
            </w:pPr>
            <w:r>
              <w:rPr>
                <w:rFonts w:ascii="Calibri" w:hAnsi="Calibri"/>
                <w:b/>
                <w:color w:val="000000"/>
                <w:sz w:val="22"/>
              </w:rPr>
              <w:t xml:space="preserve">7</w:t>
            </w:r>
          </w:p>
        </w:tc>
        <w:tc>
          <w:p>
            <w:pPr>
              <w:keepNext w:val="true"/>
              <w:spacing w:before="100" w:after="0"/>
              <w:rPr>
                <w:b/>
              </w:rPr>
            </w:pPr>
            <w:r>
              <w:rPr>
                <w:b/>
              </w:rPr>
              <w:t>Goal Name</w:t>
            </w:r>
          </w:p>
        </w:tc>
        <w:tc>
          <w:p>
            <w:pPr>
              <w:spacing w:before="100" w:after="0"/>
            </w:pPr>
            <w:r>
              <w:rPr>
                <w:rFonts w:ascii="Calibri" w:hAnsi="Calibri"/>
                <w:color w:val="000000"/>
                <w:sz w:val="22"/>
              </w:rPr>
              <w:t xml:space="preserve">Access to crisis assistance</w:t>
            </w:r>
          </w:p>
        </w:tc>
      </w:tr>
      <w:tr>
        <w:trPr>
          <w:cantSplit w:val="true"/>
        </w:trPr>
        <w:tc>
          <w:tcPr>
            <w:vMerge/>
          </w:tcPr>
          <w:p/>
        </w:tc>
        <w:tc>
          <w:p>
            <w:pPr>
              <w:keepNext w:val="true"/>
              <w:spacing w:before="100" w:after="0"/>
              <w:rPr>
                <w:b/>
              </w:rPr>
            </w:pPr>
            <w:r>
              <w:rPr>
                <w:b/>
              </w:rPr>
              <w:t>Goal Description</w:t>
            </w:r>
          </w:p>
        </w:tc>
        <w:tc>
          <w:p>
            <w:pPr>
              <w:spacing w:before="100" w:after="0"/>
            </w:pPr>
            <w:r>
              <w:rPr>
                <w:rFonts w:ascii="Calibri" w:hAnsi="Calibri"/>
                <w:color w:val="000000"/>
                <w:sz w:val="22"/>
              </w:rPr>
              <w:t xml:space="preserve">Funding will be provided to Community &amp; Support Services organizations providing public services</w:t>
            </w:r>
          </w:p>
        </w:tc>
      </w:tr>
      <w:tr>
        <w:trPr>
          <w:cantSplit w:val="true"/>
        </w:trPr>
        <w:tc>
          <w:tcPr>
            <w:vMerge w:val="restart"/>
          </w:tcPr>
          <w:p>
            <w:pPr>
              <w:keepNext w:val="true"/>
              <w:spacing w:before="100" w:after="0"/>
            </w:pPr>
            <w:r>
              <w:rPr>
                <w:rFonts w:ascii="Calibri" w:hAnsi="Calibri"/>
                <w:b/>
                <w:color w:val="000000"/>
                <w:sz w:val="22"/>
              </w:rPr>
              <w:t xml:space="preserve">8</w:t>
            </w:r>
          </w:p>
        </w:tc>
        <w:tc>
          <w:p>
            <w:pPr>
              <w:keepNext w:val="true"/>
              <w:spacing w:before="100" w:after="0"/>
              <w:rPr>
                <w:b/>
              </w:rPr>
            </w:pPr>
            <w:r>
              <w:rPr>
                <w:b/>
              </w:rPr>
              <w:t>Goal Name</w:t>
            </w:r>
          </w:p>
        </w:tc>
        <w:tc>
          <w:p>
            <w:pPr>
              <w:spacing w:before="100" w:after="0"/>
            </w:pPr>
            <w:r>
              <w:rPr>
                <w:rFonts w:ascii="Calibri" w:hAnsi="Calibri"/>
                <w:color w:val="000000"/>
                <w:sz w:val="22"/>
              </w:rPr>
              <w:t xml:space="preserve">Stability and safety</w:t>
            </w:r>
          </w:p>
        </w:tc>
      </w:tr>
      <w:tr>
        <w:trPr>
          <w:cantSplit w:val="true"/>
        </w:trPr>
        <w:tc>
          <w:tcPr>
            <w:vMerge/>
          </w:tcPr>
          <w:p/>
        </w:tc>
        <w:tc>
          <w:p>
            <w:pPr>
              <w:keepNext w:val="true"/>
              <w:spacing w:before="100" w:after="0"/>
              <w:rPr>
                <w:b/>
              </w:rPr>
            </w:pPr>
            <w:r>
              <w:rPr>
                <w:b/>
              </w:rPr>
              <w:t>Goal Description</w:t>
            </w:r>
          </w:p>
        </w:tc>
        <w:tc>
          <w:p>
            <w:pPr>
              <w:spacing w:before="100" w:after="0"/>
            </w:pPr>
            <w:r>
              <w:rPr>
                <w:rFonts w:ascii="Calibri" w:hAnsi="Calibri"/>
                <w:color w:val="000000"/>
                <w:sz w:val="22"/>
              </w:rPr>
              <w:t xml:space="preserve">funding will be provided to Community &amp; Support Services organizations providing public services</w:t>
            </w:r>
          </w:p>
        </w:tc>
      </w:tr>
      <w:tr>
        <w:trPr>
          <w:cantSplit w:val="true"/>
        </w:trPr>
        <w:tc>
          <w:tcPr>
            <w:vMerge w:val="restart"/>
          </w:tcPr>
          <w:p>
            <w:pPr>
              <w:keepNext w:val="true"/>
              <w:spacing w:before="100" w:after="0"/>
            </w:pPr>
            <w:r>
              <w:rPr>
                <w:rFonts w:ascii="Calibri" w:hAnsi="Calibri"/>
                <w:b/>
                <w:color w:val="000000"/>
                <w:sz w:val="22"/>
              </w:rPr>
              <w:t xml:space="preserve">9</w:t>
            </w:r>
          </w:p>
        </w:tc>
        <w:tc>
          <w:p>
            <w:pPr>
              <w:keepNext w:val="true"/>
              <w:spacing w:before="100" w:after="0"/>
              <w:rPr>
                <w:b/>
              </w:rPr>
            </w:pPr>
            <w:r>
              <w:rPr>
                <w:b/>
              </w:rPr>
              <w:t>Goal Name</w:t>
            </w:r>
          </w:p>
        </w:tc>
        <w:tc>
          <w:p>
            <w:pPr>
              <w:spacing w:before="100" w:after="0"/>
            </w:pPr>
            <w:r>
              <w:rPr>
                <w:rFonts w:ascii="Calibri" w:hAnsi="Calibri"/>
                <w:color w:val="000000"/>
                <w:sz w:val="22"/>
              </w:rPr>
              <w:t xml:space="preserve">Economic stability</w:t>
            </w:r>
          </w:p>
        </w:tc>
      </w:tr>
      <w:tr>
        <w:trPr>
          <w:cantSplit w:val="true"/>
        </w:trPr>
        <w:tc>
          <w:tcPr>
            <w:vMerge/>
          </w:tcPr>
          <w:p/>
        </w:tc>
        <w:tc>
          <w:p>
            <w:pPr>
              <w:keepNext w:val="true"/>
              <w:spacing w:before="100" w:after="0"/>
              <w:rPr>
                <w:b/>
              </w:rPr>
            </w:pPr>
            <w:r>
              <w:rPr>
                <w:b/>
              </w:rPr>
              <w:t>Goal Description</w:t>
            </w:r>
          </w:p>
        </w:tc>
        <w:tc>
          <w:p>
            <w:pPr>
              <w:spacing w:before="100" w:after="0"/>
            </w:pPr>
            <w:r>
              <w:rPr>
                <w:rFonts w:ascii="Calibri" w:hAnsi="Calibri"/>
                <w:color w:val="000000"/>
                <w:sz w:val="22"/>
              </w:rPr>
              <w:t xml:space="preserve">no funding </w:t>
            </w:r>
          </w:p>
        </w:tc>
      </w:tr>
      <w:tr>
        <w:trPr>
          <w:cantSplit w:val="true"/>
        </w:trPr>
        <w:tc>
          <w:tcPr>
            <w:vMerge w:val="restart"/>
          </w:tcPr>
          <w:p>
            <w:pPr>
              <w:keepNext w:val="true"/>
              <w:spacing w:before="100" w:after="0"/>
            </w:pPr>
            <w:r>
              <w:rPr>
                <w:rFonts w:ascii="Calibri" w:hAnsi="Calibri"/>
                <w:b/>
                <w:color w:val="000000"/>
                <w:sz w:val="22"/>
              </w:rPr>
              <w:t xml:space="preserve">10</w:t>
            </w:r>
          </w:p>
        </w:tc>
        <w:tc>
          <w:p>
            <w:pPr>
              <w:keepNext w:val="true"/>
              <w:spacing w:before="100" w:after="0"/>
              <w:rPr>
                <w:b/>
              </w:rPr>
            </w:pPr>
            <w:r>
              <w:rPr>
                <w:b/>
              </w:rPr>
              <w:t>Goal Name</w:t>
            </w:r>
          </w:p>
        </w:tc>
        <w:tc>
          <w:p>
            <w:pPr>
              <w:spacing w:before="100" w:after="0"/>
            </w:pPr>
            <w:r>
              <w:rPr>
                <w:rFonts w:ascii="Calibri" w:hAnsi="Calibri"/>
                <w:color w:val="000000"/>
                <w:sz w:val="22"/>
              </w:rPr>
              <w:t xml:space="preserve">Administration of HOME, ESG and CDBG</w:t>
            </w:r>
          </w:p>
        </w:tc>
      </w:tr>
      <w:tr>
        <w:trPr>
          <w:cantSplit w:val="true"/>
        </w:trPr>
        <w:tc>
          <w:tcPr>
            <w:vMerge/>
          </w:tcPr>
          <w:p/>
        </w:tc>
        <w:tc>
          <w:p>
            <w:pPr>
              <w:keepNext w:val="true"/>
              <w:spacing w:before="100" w:after="0"/>
              <w:rPr>
                <w:b/>
              </w:rPr>
            </w:pPr>
            <w:r>
              <w:rPr>
                <w:b/>
              </w:rPr>
              <w:t>Goal Description</w:t>
            </w:r>
          </w:p>
        </w:tc>
        <w:tc>
          <w:p>
            <w:pPr>
              <w:spacing w:before="100" w:after="0"/>
            </w:pPr>
            <w:r>
              <w:rPr>
                <w:rFonts w:ascii="Calibri" w:hAnsi="Calibri"/>
                <w:color w:val="000000"/>
                <w:sz w:val="22"/>
              </w:rPr>
              <w:t xml:space="preserve">HOME, CDBG, ESG funds will be used to administer respective programs</w:t>
            </w:r>
          </w:p>
        </w:tc>
      </w:tr>
    </w:tbl>
    <w:p>
      <w:pPr>
        <w:rPr>
          <w:b/>
          <w:sz w:val="24"/>
          <w:szCs w:val="24"/>
        </w:rPr>
      </w:pPr>
    </w:p>
    <w:p>
      <w:pPr>
        <w:rPr>
          <w:b/>
          <w:sz w:val="24"/>
          <w:szCs w:val="24"/>
        </w:rPr>
      </w:pPr>
    </w:p>
    <w:p/>
    <w:p>
      <w:pPr>
        <w:rPr>
          <w:b/>
          <w:sz w:val="24"/>
          <w:szCs w:val="24"/>
        </w:rPr>
      </w:pPr>
    </w:p>
    <w:p>
      <w:pPr>
        <w:widowControl w:val="false"/>
      </w:pPr>
    </w:p>
    <w:p>
      <w:pPr>
        <w:sectPr>
          <w:pgSz w:w="15840" w:h="12240" w:orient="landscape" w:code="1"/>
          <w:pgMar w:top="1440" w:right="1440" w:bottom="1440" w:left="1440" w:header="720" w:footer="720" w:gutter="0"/>
          <w:cols w:space="720"/>
          <w:docGrid w:linePitch="360"/>
        </w:sectPr>
      </w:pPr>
    </w:p>
    <w:p>
      <w:pPr>
        <w:pStyle w:val="Heading2"/>
        <w:rPr>
          <w:rFonts w:ascii="Calibri" w:hAnsi="Calibri"/>
          <w:i w:val="false"/>
        </w:rPr>
      </w:pPr>
      <w:bookmarkStart w:id="4" w:name="_Toc309810475"/>
      <w:bookmarkEnd w:id="3"/>
      <w:r>
        <w:rPr>
          <w:rFonts w:ascii="Calibri" w:hAnsi="Calibri"/>
          <w:i w:val="false"/>
        </w:rPr>
        <w:t>AP-35 Projects - 91.420, 91.220(d)</w:t>
      </w:r>
    </w:p>
    <w:p>
      <w:pPr>
        <w:keepNext/>
        <w:widowControl w:val="false"/>
        <w:spacing w:line="204" w:lineRule="auto"/>
        <w:rPr>
          <w:b/>
          <w:sz w:val="24"/>
          <w:szCs w:val="24"/>
        </w:rPr>
      </w:pPr>
      <w:r>
        <w:rPr>
          <w:b/>
          <w:sz w:val="24"/>
          <w:szCs w:val="24"/>
        </w:rPr>
        <w:t xml:space="preserve">Introduction </w:t>
      </w:r>
    </w:p>
    <w:p>
      <w:pPr>
        <w:keepNext/>
        <w:widowControl w:val="false"/>
        <w:spacing w:beforeAutospacing="true" w:afterAutospacing="true"/>
        <w:rPr>
          <w:b/>
          <w:sz w:val="24"/>
          <w:szCs w:val="24"/>
        </w:rPr>
      </w:pPr>
      <w:r>
        <w:rPr>
          <w:rFonts w:cs="Arial"/>
        </w:rPr>
        <w:t xml:space="preserve">Salt Lake County has allocated funds to these activities to help mitigate critical needs in Salt Lake County.</w:t>
      </w:r>
    </w:p>
    <w:tbl>
      <w:tblPr>
        <w:tblW w:w="0" w:type="auto"/>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firstRow="1" w:lastRow="1" w:firstColumn="1" w:lastColumn="1" w:noHBand="0" w:noVBand="0" w:val="01E0"/>
      </w:tblPr>
      <w:tblGrid>
        <w:gridCol w:w="2073"/>
        <w:gridCol w:w="7388"/>
      </w:tblGrid>
      <w:tr>
        <w:trPr>
          <w:cantSplit/>
          <w:tblHeader/>
        </w:trPr>
        <w:tc>
          <w:tcPr>
            <w:tcW w:w="0" w:type="auto"/>
          </w:tcPr>
          <w:p>
            <w:pPr>
              <w:keepNext/>
              <w:widowControl w:val="false"/>
              <w:spacing w:after="0" w:line="240" w:lineRule="auto"/>
              <w:jc w:val="center"/>
              <w:rPr>
                <w:b/>
              </w:rPr>
            </w:pPr>
            <w:r>
              <w:rPr>
                <w:b/>
              </w:rPr>
              <w:t>#</w:t>
            </w:r>
          </w:p>
        </w:tc>
        <w:tc>
          <w:tcPr>
            <w:tcW w:w="0" w:type="auto"/>
          </w:tcPr>
          <w:p>
            <w:pPr>
              <w:keepNext/>
              <w:widowControl w:val="false"/>
              <w:spacing w:after="0" w:line="240" w:lineRule="auto"/>
              <w:jc w:val="center"/>
              <w:rPr>
                <w:b/>
                <w:szCs w:val="24"/>
              </w:rPr>
            </w:pPr>
            <w:r>
              <w:rPr>
                <w:b/>
              </w:rPr>
              <w:t>Project Name</w:t>
            </w:r>
          </w:p>
        </w:tc>
      </w:tr>
      <w:tr>
        <w:trPr>
          <w:cantSplit w:val="true"/>
        </w:trPr>
        <w:tc>
          <w:tcPr>
            <w:vAlign w:val="bottom"/>
          </w:tcPr>
          <w:p>
            <w:pPr>
              <w:spacing w:beforeAutospacing="true" w:afterAutospacing="true"/>
              <w:jc w:val="right"/>
            </w:pPr>
            <w:r>
              <w:rPr>
                <w:rFonts w:ascii="Calibri" w:hAnsi="Calibri"/>
                <w:color w:val="000000"/>
                <w:sz w:val="22"/>
              </w:rPr>
              <w:t xml:space="preserve">1</w:t>
            </w:r>
          </w:p>
        </w:tc>
        <w:tc>
          <w:tcPr>
            <w:vAlign w:val="bottom"/>
          </w:tcPr>
          <w:p>
            <w:pPr>
              <w:spacing w:beforeAutospacing="true" w:afterAutospacing="true"/>
              <w:jc w:val="left"/>
            </w:pPr>
            <w:r>
              <w:rPr>
                <w:rFonts w:ascii="Calibri" w:hAnsi="Calibri"/>
                <w:color w:val="000000"/>
                <w:sz w:val="22"/>
              </w:rPr>
              <w:t xml:space="preserve">HOME housing rehabilitation</w:t>
            </w:r>
          </w:p>
        </w:tc>
      </w:tr>
      <w:tr>
        <w:trPr>
          <w:cantSplit w:val="true"/>
        </w:trPr>
        <w:tc>
          <w:tcPr>
            <w:vAlign w:val="bottom"/>
          </w:tcPr>
          <w:p>
            <w:pPr>
              <w:spacing w:beforeAutospacing="true" w:afterAutospacing="true"/>
              <w:jc w:val="right"/>
            </w:pPr>
            <w:r>
              <w:rPr>
                <w:rFonts w:ascii="Calibri" w:hAnsi="Calibri"/>
                <w:color w:val="000000"/>
                <w:sz w:val="22"/>
              </w:rPr>
              <w:t xml:space="preserve">2</w:t>
            </w:r>
          </w:p>
        </w:tc>
        <w:tc>
          <w:tcPr>
            <w:vAlign w:val="bottom"/>
          </w:tcPr>
          <w:p>
            <w:pPr>
              <w:spacing w:beforeAutospacing="true" w:afterAutospacing="true"/>
              <w:jc w:val="left"/>
            </w:pPr>
            <w:r>
              <w:rPr>
                <w:rFonts w:ascii="Calibri" w:hAnsi="Calibri"/>
                <w:color w:val="000000"/>
                <w:sz w:val="22"/>
              </w:rPr>
              <w:t xml:space="preserve">HOME Rental Housing</w:t>
            </w:r>
          </w:p>
        </w:tc>
      </w:tr>
      <w:tr>
        <w:trPr>
          <w:cantSplit w:val="true"/>
        </w:trPr>
        <w:tc>
          <w:tcPr>
            <w:vAlign w:val="bottom"/>
          </w:tcPr>
          <w:p>
            <w:pPr>
              <w:spacing w:beforeAutospacing="true" w:afterAutospacing="true"/>
              <w:jc w:val="right"/>
            </w:pPr>
            <w:r>
              <w:rPr>
                <w:rFonts w:ascii="Calibri" w:hAnsi="Calibri"/>
                <w:color w:val="000000"/>
                <w:sz w:val="22"/>
              </w:rPr>
              <w:t xml:space="preserve">3</w:t>
            </w:r>
          </w:p>
        </w:tc>
        <w:tc>
          <w:tcPr>
            <w:vAlign w:val="bottom"/>
          </w:tcPr>
          <w:p>
            <w:pPr>
              <w:spacing w:beforeAutospacing="true" w:afterAutospacing="true"/>
              <w:jc w:val="left"/>
            </w:pPr>
            <w:r>
              <w:rPr>
                <w:rFonts w:ascii="Calibri" w:hAnsi="Calibri"/>
                <w:color w:val="000000"/>
                <w:sz w:val="22"/>
              </w:rPr>
              <w:t xml:space="preserve">HOME Tenant Based Rental Assistance</w:t>
            </w:r>
          </w:p>
        </w:tc>
      </w:tr>
      <w:tr>
        <w:trPr>
          <w:cantSplit w:val="true"/>
        </w:trPr>
        <w:tc>
          <w:tcPr>
            <w:vAlign w:val="bottom"/>
          </w:tcPr>
          <w:p>
            <w:pPr>
              <w:spacing w:beforeAutospacing="true" w:afterAutospacing="true"/>
              <w:jc w:val="right"/>
            </w:pPr>
            <w:r>
              <w:rPr>
                <w:rFonts w:ascii="Calibri" w:hAnsi="Calibri"/>
                <w:color w:val="000000"/>
                <w:sz w:val="22"/>
              </w:rPr>
              <w:t xml:space="preserve">4</w:t>
            </w:r>
          </w:p>
        </w:tc>
        <w:tc>
          <w:tcPr>
            <w:vAlign w:val="bottom"/>
          </w:tcPr>
          <w:p>
            <w:pPr>
              <w:spacing w:beforeAutospacing="true" w:afterAutospacing="true"/>
              <w:jc w:val="left"/>
            </w:pPr>
            <w:r>
              <w:rPr>
                <w:rFonts w:ascii="Calibri" w:hAnsi="Calibri"/>
                <w:color w:val="000000"/>
                <w:sz w:val="22"/>
              </w:rPr>
              <w:t xml:space="preserve">HOME downpayment assistance</w:t>
            </w:r>
          </w:p>
        </w:tc>
      </w:tr>
      <w:tr>
        <w:trPr>
          <w:cantSplit w:val="true"/>
        </w:trPr>
        <w:tc>
          <w:tcPr>
            <w:vAlign w:val="bottom"/>
          </w:tcPr>
          <w:p>
            <w:pPr>
              <w:spacing w:beforeAutospacing="true" w:afterAutospacing="true"/>
              <w:jc w:val="right"/>
            </w:pPr>
            <w:r>
              <w:rPr>
                <w:rFonts w:ascii="Calibri" w:hAnsi="Calibri"/>
                <w:color w:val="000000"/>
                <w:sz w:val="22"/>
              </w:rPr>
              <w:t xml:space="preserve">5</w:t>
            </w:r>
          </w:p>
        </w:tc>
        <w:tc>
          <w:tcPr>
            <w:vAlign w:val="bottom"/>
          </w:tcPr>
          <w:p>
            <w:pPr>
              <w:spacing w:beforeAutospacing="true" w:afterAutospacing="true"/>
              <w:jc w:val="left"/>
            </w:pPr>
            <w:r>
              <w:rPr>
                <w:rFonts w:ascii="Calibri" w:hAnsi="Calibri"/>
                <w:color w:val="000000"/>
                <w:sz w:val="22"/>
              </w:rPr>
              <w:t xml:space="preserve">Administration</w:t>
            </w:r>
          </w:p>
        </w:tc>
      </w:tr>
      <w:tr>
        <w:trPr>
          <w:cantSplit w:val="true"/>
        </w:trPr>
        <w:tc>
          <w:tcPr>
            <w:vAlign w:val="bottom"/>
          </w:tcPr>
          <w:p>
            <w:pPr>
              <w:spacing w:beforeAutospacing="true" w:afterAutospacing="true"/>
              <w:jc w:val="right"/>
            </w:pPr>
            <w:r>
              <w:rPr>
                <w:rFonts w:ascii="Calibri" w:hAnsi="Calibri"/>
                <w:color w:val="000000"/>
                <w:sz w:val="22"/>
              </w:rPr>
              <w:t xml:space="preserve">6</w:t>
            </w:r>
          </w:p>
        </w:tc>
        <w:tc>
          <w:tcPr>
            <w:vAlign w:val="bottom"/>
          </w:tcPr>
          <w:p>
            <w:pPr>
              <w:spacing w:beforeAutospacing="true" w:afterAutospacing="true"/>
              <w:jc w:val="left"/>
            </w:pPr>
            <w:r>
              <w:rPr>
                <w:rFonts w:ascii="Calibri" w:hAnsi="Calibri"/>
                <w:color w:val="000000"/>
                <w:sz w:val="22"/>
              </w:rPr>
              <w:t xml:space="preserve">01-CDBG Affordable Housing</w:t>
            </w:r>
          </w:p>
        </w:tc>
      </w:tr>
      <w:tr>
        <w:trPr>
          <w:cantSplit w:val="true"/>
        </w:trPr>
        <w:tc>
          <w:tcPr>
            <w:vAlign w:val="bottom"/>
          </w:tcPr>
          <w:p>
            <w:pPr>
              <w:spacing w:beforeAutospacing="true" w:afterAutospacing="true"/>
              <w:jc w:val="right"/>
            </w:pPr>
            <w:r>
              <w:rPr>
                <w:rFonts w:ascii="Calibri" w:hAnsi="Calibri"/>
                <w:color w:val="000000"/>
                <w:sz w:val="22"/>
              </w:rPr>
              <w:t xml:space="preserve">7</w:t>
            </w:r>
          </w:p>
        </w:tc>
        <w:tc>
          <w:tcPr>
            <w:vAlign w:val="bottom"/>
          </w:tcPr>
          <w:p>
            <w:pPr>
              <w:spacing w:beforeAutospacing="true" w:afterAutospacing="true"/>
              <w:jc w:val="left"/>
            </w:pPr>
            <w:r>
              <w:rPr>
                <w:rFonts w:ascii="Calibri" w:hAnsi="Calibri"/>
                <w:color w:val="000000"/>
                <w:sz w:val="22"/>
              </w:rPr>
              <w:t xml:space="preserve">01-CDBG Housing Improvement Program</w:t>
            </w:r>
          </w:p>
        </w:tc>
      </w:tr>
      <w:tr>
        <w:trPr>
          <w:cantSplit w:val="true"/>
        </w:trPr>
        <w:tc>
          <w:tcPr>
            <w:vAlign w:val="bottom"/>
          </w:tcPr>
          <w:p>
            <w:pPr>
              <w:spacing w:beforeAutospacing="true" w:afterAutospacing="true"/>
              <w:jc w:val="right"/>
            </w:pPr>
            <w:r>
              <w:rPr>
                <w:rFonts w:ascii="Calibri" w:hAnsi="Calibri"/>
                <w:color w:val="000000"/>
                <w:sz w:val="22"/>
              </w:rPr>
              <w:t xml:space="preserve">8</w:t>
            </w:r>
          </w:p>
        </w:tc>
        <w:tc>
          <w:tcPr>
            <w:vAlign w:val="bottom"/>
          </w:tcPr>
          <w:p>
            <w:pPr>
              <w:spacing w:beforeAutospacing="true" w:afterAutospacing="true"/>
              <w:jc w:val="left"/>
            </w:pPr>
            <w:r>
              <w:rPr>
                <w:rFonts w:ascii="Calibri" w:hAnsi="Calibri"/>
                <w:color w:val="000000"/>
                <w:sz w:val="22"/>
              </w:rPr>
              <w:t xml:space="preserve">Action Plan Administration (CDBG)</w:t>
            </w:r>
          </w:p>
        </w:tc>
      </w:tr>
      <w:tr>
        <w:trPr>
          <w:cantSplit w:val="true"/>
        </w:trPr>
        <w:tc>
          <w:tcPr>
            <w:vAlign w:val="bottom"/>
          </w:tcPr>
          <w:p>
            <w:pPr>
              <w:spacing w:beforeAutospacing="true" w:afterAutospacing="true"/>
              <w:jc w:val="right"/>
            </w:pPr>
            <w:r>
              <w:rPr>
                <w:rFonts w:ascii="Calibri" w:hAnsi="Calibri"/>
                <w:color w:val="000000"/>
                <w:sz w:val="22"/>
              </w:rPr>
              <w:t xml:space="preserve">10</w:t>
            </w:r>
          </w:p>
        </w:tc>
        <w:tc>
          <w:tcPr>
            <w:vAlign w:val="bottom"/>
          </w:tcPr>
          <w:p>
            <w:pPr>
              <w:spacing w:beforeAutospacing="true" w:afterAutospacing="true"/>
              <w:jc w:val="left"/>
            </w:pPr>
            <w:r>
              <w:rPr>
                <w:rFonts w:ascii="Calibri" w:hAnsi="Calibri"/>
                <w:color w:val="000000"/>
                <w:sz w:val="22"/>
              </w:rPr>
              <w:t xml:space="preserve">02 &amp; 05-CDBG Public Infrastructure and Public Works</w:t>
            </w:r>
          </w:p>
        </w:tc>
      </w:tr>
      <w:tr>
        <w:trPr>
          <w:cantSplit w:val="true"/>
        </w:trPr>
        <w:tc>
          <w:tcPr>
            <w:vAlign w:val="bottom"/>
          </w:tcPr>
          <w:p>
            <w:pPr>
              <w:spacing w:beforeAutospacing="true" w:afterAutospacing="true"/>
              <w:jc w:val="right"/>
            </w:pPr>
            <w:r>
              <w:rPr>
                <w:rFonts w:ascii="Calibri" w:hAnsi="Calibri"/>
                <w:color w:val="000000"/>
                <w:sz w:val="22"/>
              </w:rPr>
              <w:t xml:space="preserve">11</w:t>
            </w:r>
          </w:p>
        </w:tc>
        <w:tc>
          <w:tcPr>
            <w:vAlign w:val="bottom"/>
          </w:tcPr>
          <w:p>
            <w:pPr>
              <w:spacing w:beforeAutospacing="true" w:afterAutospacing="true"/>
              <w:jc w:val="left"/>
            </w:pPr>
            <w:r>
              <w:rPr>
                <w:rFonts w:ascii="Calibri" w:hAnsi="Calibri"/>
                <w:color w:val="000000"/>
                <w:sz w:val="22"/>
              </w:rPr>
              <w:t xml:space="preserve">08-CDBG Private Non-Profit Facility Improvements</w:t>
            </w:r>
          </w:p>
        </w:tc>
      </w:tr>
      <w:tr>
        <w:trPr>
          <w:cantSplit w:val="true"/>
        </w:trPr>
        <w:tc>
          <w:tcPr>
            <w:vAlign w:val="bottom"/>
          </w:tcPr>
          <w:p>
            <w:pPr>
              <w:spacing w:beforeAutospacing="true" w:afterAutospacing="true"/>
              <w:jc w:val="right"/>
            </w:pPr>
            <w:r>
              <w:rPr>
                <w:rFonts w:ascii="Calibri" w:hAnsi="Calibri"/>
                <w:color w:val="000000"/>
                <w:sz w:val="22"/>
              </w:rPr>
              <w:t xml:space="preserve">12</w:t>
            </w:r>
          </w:p>
        </w:tc>
        <w:tc>
          <w:tcPr>
            <w:vAlign w:val="bottom"/>
          </w:tcPr>
          <w:p>
            <w:pPr>
              <w:spacing w:beforeAutospacing="true" w:afterAutospacing="true"/>
              <w:jc w:val="left"/>
            </w:pPr>
            <w:r>
              <w:rPr>
                <w:rFonts w:ascii="Calibri" w:hAnsi="Calibri"/>
                <w:color w:val="000000"/>
                <w:sz w:val="22"/>
              </w:rPr>
              <w:t xml:space="preserve">09-CDBG Private Non-Profit Public Services</w:t>
            </w:r>
          </w:p>
        </w:tc>
      </w:tr>
      <w:tr>
        <w:trPr>
          <w:cantSplit w:val="true"/>
        </w:trPr>
        <w:tc>
          <w:tcPr>
            <w:vAlign w:val="bottom"/>
          </w:tcPr>
          <w:p>
            <w:pPr>
              <w:spacing w:beforeAutospacing="true" w:afterAutospacing="true"/>
              <w:jc w:val="right"/>
            </w:pPr>
            <w:r>
              <w:rPr>
                <w:rFonts w:ascii="Calibri" w:hAnsi="Calibri"/>
                <w:color w:val="000000"/>
                <w:sz w:val="22"/>
              </w:rPr>
              <w:t xml:space="preserve">13</w:t>
            </w:r>
          </w:p>
        </w:tc>
        <w:tc>
          <w:tcPr>
            <w:vAlign w:val="bottom"/>
          </w:tcPr>
          <w:p>
            <w:pPr>
              <w:spacing w:beforeAutospacing="true" w:afterAutospacing="true"/>
              <w:jc w:val="left"/>
            </w:pPr>
            <w:r>
              <w:rPr>
                <w:rFonts w:ascii="Calibri" w:hAnsi="Calibri"/>
                <w:color w:val="000000"/>
                <w:sz w:val="22"/>
              </w:rPr>
              <w:t xml:space="preserve">HESG20 - Salt Lake County</w:t>
            </w:r>
          </w:p>
        </w:tc>
      </w:tr>
    </w:tbl>
    <w:p>
      <w:pPr>
        <w:pStyle w:val="Caption"/>
        <w:rPr>
          <w:rFonts w:asciiTheme="minorHAnsi" w:hAnsiTheme="minorHAnsi"/>
        </w:rPr>
      </w:pPr>
      <w:r>
        <w:rPr>
          <w:rFonts w:asciiTheme="minorHAnsi" w:hAnsiTheme="minorHAnsi"/>
        </w:rPr>
        <w:t xml:space="preserve">Table </w:t>
        <w:fldChar w:fldCharType="begin"/>
        <w:instrText xml:space="preserve"> SEQ Table \* ARABIC </w:instrText>
        <w:fldChar w:fldCharType="separate"/>
        <w:t>26</w:t>
        <w:fldChar w:fldCharType="end"/>
        <w:t xml:space="preserve"> – Project Information</w:t>
      </w:r>
    </w:p>
    <w:p>
      <w:pPr>
        <w:spacing w:after="0" w:line="240" w:lineRule="auto"/>
        <w:rPr>
          <w:b/>
          <w:sz w:val="24"/>
          <w:szCs w:val="24"/>
        </w:rPr>
      </w:pPr>
    </w:p>
    <w:p>
      <w:pPr>
        <w:keepNext/>
        <w:widowControl w:val="false"/>
        <w:spacing w:line="204" w:lineRule="auto"/>
        <w:rPr>
          <w:b/>
          <w:sz w:val="24"/>
          <w:szCs w:val="24"/>
        </w:rPr>
      </w:pPr>
      <w:r>
        <w:rPr>
          <w:b/>
          <w:sz w:val="24"/>
          <w:szCs w:val="24"/>
        </w:rPr>
        <w:t>Describe the reasons for allocation priorities and any obstacles to addressing underserved needs</w:t>
      </w:r>
    </w:p>
    <w:p>
      <w:pPr>
        <w:keepNext/>
        <w:widowControl w:val="false"/>
        <w:spacing w:beforeAutospacing="true" w:afterAutospacing="true"/>
        <w:rPr>
          <w:rFonts w:cs="Arial"/>
          <w:szCs w:val="24"/>
        </w:rPr>
      </w:pPr>
      <w:r>
        <w:rPr>
          <w:rFonts w:cs="Arial"/>
        </w:rPr>
        <w:t xml:space="preserve">See appendix for citizen and process used to allocated funds</w:t>
      </w:r>
    </w:p>
    <w:p>
      <w:pPr>
        <w:rPr>
          <w:rFonts w:cs="Arial"/>
        </w:rPr>
        <w:sectPr>
          <w:pgSz w:w="12240" w:h="15840" w:code="1"/>
          <w:pgMar w:top="1440" w:right="1440" w:bottom="1440" w:left="1440" w:header="720" w:footer="720" w:gutter="0"/>
          <w:cols w:space="720"/>
          <w:docGrid w:linePitch="360"/>
        </w:sectPr>
      </w:pPr>
    </w:p>
    <w:p>
      <w:pPr>
        <w:pStyle w:val="Heading2"/>
        <w:rPr>
          <w:rFonts w:ascii="Calibri" w:hAnsi="Calibri"/>
          <w:i w:val="false"/>
        </w:rPr>
      </w:pPr>
      <w:r>
        <w:rPr>
          <w:rFonts w:ascii="Calibri" w:hAnsi="Calibri"/>
          <w:i w:val="false"/>
        </w:rPr>
        <w:t>AP-38 Project Summary</w:t>
      </w:r>
    </w:p>
    <w:p>
      <w:pPr>
        <w:keepNext/>
        <w:widowControl w:val="false"/>
        <w:rPr>
          <w:b/>
          <w:sz w:val="24"/>
          <w:szCs w:val="24"/>
        </w:rPr>
      </w:pPr>
      <w:r>
        <w:rPr>
          <w:b/>
          <w:sz w:val="24"/>
          <w:szCs w:val="24"/>
        </w:rPr>
        <w:t>Project Summary Information</w:t>
      </w:r>
    </w:p>
    <w:p>
      <w:pPr>
        <w:tabs>
          <w:tab w:val="left" w:pos="10130"/>
        </w:tabs>
        <w:rPr>
          <w:rFonts w:cs="Arial"/>
        </w:rPr>
      </w:pPr>
    </w:p>
    <w:tbl>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Pr>
      <w:tblGrid/>
      <w:tr>
        <w:trPr>
          <w:cantSplit w:val="true"/>
        </w:trPr>
        <w:tc>
          <w:tcPr>
            <w:vMerge w:val="restart"/>
          </w:tcPr>
          <w:p>
            <w:r>
              <w:rPr>
                <w:b w:val="true"/>
              </w:rPr>
              <w:t>1</w:t>
            </w:r>
          </w:p>
        </w:tc>
        <w:tc>
          <w:p>
            <w:pPr>
              <w:keepNext w:val="true"/>
              <w:spacing w:before="100" w:after="0"/>
              <w:rPr>
                <w:b/>
              </w:rPr>
            </w:pPr>
            <w:r>
              <w:rPr>
                <w:b/>
              </w:rPr>
              <w:t>Project Name</w:t>
            </w:r>
          </w:p>
        </w:tc>
        <w:tc>
          <w:p>
            <w:pPr>
              <w:spacing w:before="100" w:after="0"/>
            </w:pPr>
            <w:r>
              <w:rPr>
                <w:rFonts w:ascii="Calibri" w:hAnsi="Calibri"/>
                <w:color w:val="000000"/>
                <w:sz w:val="22"/>
              </w:rPr>
              <w:t xml:space="preserve">HOME housing rehabilitation</w:t>
            </w:r>
          </w:p>
        </w:tc>
      </w:tr>
      <w:tr>
        <w:trPr>
          <w:cantSplit w:val="true"/>
        </w:trPr>
        <w:tc>
          <w:tcPr>
            <w:vMerge/>
          </w:tcPr>
          <w:p/>
        </w:tc>
        <w:tc>
          <w:p>
            <w:pPr>
              <w:keepNext w:val="true"/>
              <w:spacing w:before="100" w:after="0"/>
              <w:rPr>
                <w:b/>
              </w:rPr>
            </w:pPr>
            <w:r>
              <w:rPr>
                <w:b/>
              </w:rPr>
              <w:t>Target Area</w:t>
            </w:r>
          </w:p>
        </w:tc>
        <w:tc>
          <w:p>
            <w:pPr>
              <w:spacing w:before="100" w:after="0"/>
            </w:pPr>
            <w:r>
              <w:rPr>
                <w:rFonts w:ascii="Calibri" w:hAnsi="Calibri"/>
                <w:color w:val="000000"/>
                <w:sz w:val="22"/>
              </w:rPr>
              <w:t xml:space="preserve">Salt Lake County</w:t>
            </w:r>
          </w:p>
        </w:tc>
      </w:tr>
      <w:tr>
        <w:trPr>
          <w:cantSplit w:val="true"/>
        </w:trPr>
        <w:tc>
          <w:tcPr>
            <w:vMerge/>
          </w:tcPr>
          <w:p/>
        </w:tc>
        <w:tc>
          <w:p>
            <w:pPr>
              <w:keepNext w:val="true"/>
              <w:spacing w:before="100" w:after="0"/>
              <w:rPr>
                <w:b/>
              </w:rPr>
            </w:pPr>
            <w:r>
              <w:rPr>
                <w:b/>
              </w:rPr>
              <w:t>Goals Supported</w:t>
            </w:r>
          </w:p>
        </w:tc>
        <w:tc>
          <w:p>
            <w:pPr>
              <w:spacing w:before="100" w:after="0"/>
            </w:pPr>
            <w:r>
              <w:rPr>
                <w:rFonts w:ascii="Calibri" w:hAnsi="Calibri"/>
                <w:color w:val="000000"/>
                <w:sz w:val="22"/>
              </w:rPr>
              <w:t xml:space="preserve">Housing Rehabilitation &amp; Accessibility</w:t>
            </w:r>
          </w:p>
        </w:tc>
      </w:tr>
      <w:tr>
        <w:trPr>
          <w:cantSplit w:val="true"/>
        </w:trPr>
        <w:tc>
          <w:tcPr>
            <w:vMerge/>
          </w:tcPr>
          <w:p/>
        </w:tc>
        <w:tc>
          <w:p>
            <w:pPr>
              <w:keepNext w:val="true"/>
              <w:spacing w:before="100" w:after="0"/>
              <w:rPr>
                <w:b/>
              </w:rPr>
            </w:pPr>
            <w:r>
              <w:rPr>
                <w:b/>
              </w:rPr>
              <w:t>Needs Addressed</w:t>
            </w:r>
          </w:p>
        </w:tc>
        <w:tc>
          <w:p>
            <w:pPr>
              <w:spacing w:before="100" w:after="0"/>
            </w:pPr>
            <w:r>
              <w:rPr>
                <w:rFonts w:ascii="Calibri" w:hAnsi="Calibri"/>
                <w:color w:val="000000"/>
                <w:sz w:val="22"/>
              </w:rPr>
              <w:t xml:space="preserve">Housing Rehabilitation</w:t>
            </w:r>
          </w:p>
        </w:tc>
      </w:tr>
      <w:tr>
        <w:trPr>
          <w:cantSplit w:val="true"/>
        </w:trPr>
        <w:tc>
          <w:tcPr>
            <w:vMerge/>
          </w:tcPr>
          <w:p/>
        </w:tc>
        <w:tc>
          <w:p>
            <w:pPr>
              <w:keepNext w:val="true"/>
              <w:spacing w:before="100" w:after="0"/>
              <w:rPr>
                <w:b/>
              </w:rPr>
            </w:pPr>
            <w:r>
              <w:rPr>
                <w:b/>
              </w:rPr>
              <w:t>Funding</w:t>
            </w:r>
          </w:p>
        </w:tc>
        <w:tc>
          <w:p>
            <w:pPr>
              <w:spacing w:before="100" w:after="0"/>
            </w:pPr>
            <w:r>
              <w:rPr>
                <w:rFonts w:ascii="Calibri" w:hAnsi="Calibri"/>
                <w:color w:val="000000"/>
                <w:sz w:val="22"/>
              </w:rPr>
              <w:t xml:space="preserve">HOME: $1,290,037</w:t>
            </w:r>
          </w:p>
        </w:tc>
      </w:tr>
      <w:tr>
        <w:trPr>
          <w:cantSplit w:val="true"/>
        </w:trPr>
        <w:tc>
          <w:tcPr>
            <w:vMerge/>
          </w:tcPr>
          <w:p/>
        </w:tc>
        <w:tc>
          <w:p>
            <w:pPr>
              <w:keepNext w:val="true"/>
              <w:spacing w:before="100" w:after="0"/>
              <w:rPr>
                <w:b/>
              </w:rPr>
            </w:pPr>
            <w:r>
              <w:rPr>
                <w:b/>
              </w:rPr>
              <w:t>Description</w:t>
            </w:r>
          </w:p>
        </w:tc>
        <w:tc>
          <w:p>
            <w:pPr>
              <w:spacing w:before="100" w:after="0"/>
            </w:pPr>
            <w:r>
              <w:rPr>
                <w:rFonts w:ascii="Calibri" w:hAnsi="Calibri"/>
                <w:color w:val="000000"/>
                <w:sz w:val="22"/>
              </w:rPr>
              <w:t xml:space="preserve">HOME funds have been committed to Community Development Corporation of Utah, Assist, West Valley City, Taylorsville City, and Salt Lake Valley Habitat for Humanity to fund housing rehabilitation programs.</w:t>
            </w:r>
          </w:p>
        </w:tc>
      </w:tr>
      <w:tr>
        <w:trPr>
          <w:cantSplit w:val="true"/>
        </w:trPr>
        <w:tc>
          <w:tcPr>
            <w:vMerge/>
          </w:tcPr>
          <w:p/>
        </w:tc>
        <w:tc>
          <w:p>
            <w:pPr>
              <w:keepNext w:val="true"/>
              <w:spacing w:before="100" w:after="0"/>
              <w:rPr>
                <w:b/>
              </w:rPr>
            </w:pPr>
            <w:r>
              <w:rPr>
                <w:b/>
              </w:rPr>
              <w:t>Target Date</w:t>
            </w:r>
          </w:p>
        </w:tc>
        <w:tc>
          <w:p>
            <w:pPr>
              <w:spacing w:before="100" w:after="0"/>
            </w:pPr>
            <w:r>
              <w:rPr>
                <w:rFonts w:ascii="Calibri" w:hAnsi="Calibri"/>
                <w:color w:val="000000"/>
                <w:sz w:val="22"/>
              </w:rPr>
              <w:t xml:space="preserve">6/30/2021</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p>
            <w:pPr>
              <w:spacing w:before="100" w:after="0"/>
            </w:pPr>
            <w:r>
              <w:rPr>
                <w:rFonts w:ascii="Calibri" w:hAnsi="Calibri"/>
                <w:color w:val="000000"/>
                <w:sz w:val="22"/>
              </w:rPr>
              <w:t xml:space="preserve">it is estimated at least 100 households will be assisted</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Location Description</w:t>
            </w:r>
          </w:p>
        </w:tc>
        <w:tc>
          <w:p>
            <w:pPr>
              <w:spacing w:before="100" w:after="0"/>
            </w:pPr>
            <w:r>
              <w:rPr>
                <w:rFonts w:ascii="Calibri" w:hAnsi="Calibri"/>
                <w:color w:val="000000"/>
                <w:sz w:val="22"/>
              </w:rPr>
              <w:t xml:space="preserve">Salt Lake County except for Salt Lake City</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Planned Activities</w:t>
            </w:r>
          </w:p>
        </w:tc>
        <w:tc>
          <w:p>
            <w:pPr>
              <w:spacing w:before="100" w:after="0"/>
            </w:pPr>
            <w:r>
              <w:rPr>
                <w:rFonts w:ascii="Calibri" w:hAnsi="Calibri"/>
                <w:color w:val="000000"/>
                <w:sz w:val="22"/>
              </w:rPr>
              <w:t xml:space="preserve">All of the housing rehabilitation program will follow Green and Healthy Homes Initaitive guidelines. Each of the homes assisted will receive a healthy homes assessment which will include 29 hazards assessment, a lead risk assessment when appropriate, radon as hazard assessment, safety, energy efficiency assessment, and when appropriate aging in place. All homes will be brought up to meet local property standards.</w:t>
            </w:r>
          </w:p>
        </w:tc>
      </w:tr>
      <w:tr>
        <w:trPr>
          <w:cantSplit w:val="true"/>
        </w:trPr>
        <w:tc>
          <w:tcPr>
            <w:vMerge w:val="restart"/>
          </w:tcPr>
          <w:p>
            <w:r>
              <w:rPr>
                <w:b w:val="true"/>
              </w:rPr>
              <w:t>2</w:t>
            </w:r>
          </w:p>
        </w:tc>
        <w:tc>
          <w:p>
            <w:pPr>
              <w:keepNext w:val="true"/>
              <w:spacing w:before="100" w:after="0"/>
              <w:rPr>
                <w:b/>
              </w:rPr>
            </w:pPr>
            <w:r>
              <w:rPr>
                <w:b/>
              </w:rPr>
              <w:t>Project Name</w:t>
            </w:r>
          </w:p>
        </w:tc>
        <w:tc>
          <w:p>
            <w:pPr>
              <w:spacing w:before="100" w:after="0"/>
            </w:pPr>
            <w:r>
              <w:rPr>
                <w:rFonts w:ascii="Calibri" w:hAnsi="Calibri"/>
                <w:color w:val="000000"/>
                <w:sz w:val="22"/>
              </w:rPr>
              <w:t xml:space="preserve">HOME Rental Housing</w:t>
            </w:r>
          </w:p>
        </w:tc>
      </w:tr>
      <w:tr>
        <w:trPr>
          <w:cantSplit w:val="true"/>
        </w:trPr>
        <w:tc>
          <w:tcPr>
            <w:vMerge/>
          </w:tcPr>
          <w:p/>
        </w:tc>
        <w:tc>
          <w:p>
            <w:pPr>
              <w:keepNext w:val="true"/>
              <w:spacing w:before="100" w:after="0"/>
              <w:rPr>
                <w:b/>
              </w:rPr>
            </w:pPr>
            <w:r>
              <w:rPr>
                <w:b/>
              </w:rPr>
              <w:t>Target Area</w:t>
            </w:r>
          </w:p>
        </w:tc>
        <w:tc>
          <w:p>
            <w:pPr>
              <w:spacing w:before="100" w:after="0"/>
            </w:pPr>
            <w:r>
              <w:rPr>
                <w:rFonts w:ascii="Calibri" w:hAnsi="Calibri"/>
                <w:color w:val="000000"/>
                <w:sz w:val="22"/>
              </w:rPr>
              <w:t xml:space="preserve">Salt Lake County</w:t>
            </w:r>
          </w:p>
        </w:tc>
      </w:tr>
      <w:tr>
        <w:trPr>
          <w:cantSplit w:val="true"/>
        </w:trPr>
        <w:tc>
          <w:tcPr>
            <w:vMerge/>
          </w:tcPr>
          <w:p/>
        </w:tc>
        <w:tc>
          <w:p>
            <w:pPr>
              <w:keepNext w:val="true"/>
              <w:spacing w:before="100" w:after="0"/>
              <w:rPr>
                <w:b/>
              </w:rPr>
            </w:pPr>
            <w:r>
              <w:rPr>
                <w:b/>
              </w:rPr>
              <w:t>Goals Supported</w:t>
            </w:r>
          </w:p>
        </w:tc>
        <w:tc>
          <w:p>
            <w:pPr>
              <w:spacing w:before="100" w:after="0"/>
            </w:pPr>
            <w:r>
              <w:rPr>
                <w:rFonts w:ascii="Calibri" w:hAnsi="Calibri"/>
                <w:color w:val="000000"/>
                <w:sz w:val="22"/>
              </w:rPr>
              <w:t xml:space="preserve">Rental Housing</w:t>
            </w:r>
          </w:p>
        </w:tc>
      </w:tr>
      <w:tr>
        <w:trPr>
          <w:cantSplit w:val="true"/>
        </w:trPr>
        <w:tc>
          <w:tcPr>
            <w:vMerge/>
          </w:tcPr>
          <w:p/>
        </w:tc>
        <w:tc>
          <w:p>
            <w:pPr>
              <w:keepNext w:val="true"/>
              <w:spacing w:before="100" w:after="0"/>
              <w:rPr>
                <w:b/>
              </w:rPr>
            </w:pPr>
            <w:r>
              <w:rPr>
                <w:b/>
              </w:rPr>
              <w:t>Needs Addressed</w:t>
            </w:r>
          </w:p>
        </w:tc>
        <w:tc>
          <w:p>
            <w:pPr>
              <w:spacing w:before="100" w:after="0"/>
            </w:pPr>
            <w:r>
              <w:rPr>
                <w:rFonts w:ascii="Calibri" w:hAnsi="Calibri"/>
                <w:color w:val="000000"/>
                <w:sz w:val="22"/>
              </w:rPr>
              <w:t xml:space="preserve">Rental Housing</w:t>
            </w:r>
          </w:p>
        </w:tc>
      </w:tr>
      <w:tr>
        <w:trPr>
          <w:cantSplit w:val="true"/>
        </w:trPr>
        <w:tc>
          <w:tcPr>
            <w:vMerge/>
          </w:tcPr>
          <w:p/>
        </w:tc>
        <w:tc>
          <w:p>
            <w:pPr>
              <w:keepNext w:val="true"/>
              <w:spacing w:before="100" w:after="0"/>
              <w:rPr>
                <w:b/>
              </w:rPr>
            </w:pPr>
            <w:r>
              <w:rPr>
                <w:b/>
              </w:rPr>
              <w:t>Funding</w:t>
            </w:r>
          </w:p>
        </w:tc>
        <w:tc>
          <w:p>
            <w:pPr>
              <w:spacing w:before="100" w:after="0"/>
            </w:pPr>
            <w:r>
              <w:rPr>
                <w:rFonts w:ascii="Calibri" w:hAnsi="Calibri"/>
                <w:color w:val="000000"/>
                <w:sz w:val="22"/>
              </w:rPr>
              <w:t xml:space="preserve">HOME: $1,838,543</w:t>
            </w:r>
          </w:p>
        </w:tc>
      </w:tr>
      <w:tr>
        <w:trPr>
          <w:cantSplit w:val="true"/>
        </w:trPr>
        <w:tc>
          <w:tcPr>
            <w:vMerge/>
          </w:tcPr>
          <w:p/>
        </w:tc>
        <w:tc>
          <w:p>
            <w:pPr>
              <w:keepNext w:val="true"/>
              <w:spacing w:before="100" w:after="0"/>
              <w:rPr>
                <w:b/>
              </w:rPr>
            </w:pPr>
            <w:r>
              <w:rPr>
                <w:b/>
              </w:rPr>
              <w:t>Description</w:t>
            </w:r>
          </w:p>
        </w:tc>
        <w:tc>
          <w:p>
            <w:pPr>
              <w:spacing w:before="100" w:after="0"/>
            </w:pPr>
            <w:r>
              <w:rPr>
                <w:rFonts w:ascii="Calibri" w:hAnsi="Calibri"/>
                <w:color w:val="000000"/>
                <w:sz w:val="22"/>
              </w:rPr>
              <w:t xml:space="preserve">HOME funds have been committed to funding the following rental housing projects; Taylorsville Liberty Beacon (142 units) $88,543, Magnolia (65 units) $1,000,000, 144 South Project (100 units) $250,000. and Utah Nonprofit chdo set aside preservation  project $500,000</w:t>
            </w:r>
          </w:p>
        </w:tc>
      </w:tr>
      <w:tr>
        <w:trPr>
          <w:cantSplit w:val="true"/>
        </w:trPr>
        <w:tc>
          <w:tcPr>
            <w:vMerge/>
          </w:tcPr>
          <w:p/>
        </w:tc>
        <w:tc>
          <w:p>
            <w:pPr>
              <w:keepNext w:val="true"/>
              <w:spacing w:before="100" w:after="0"/>
              <w:rPr>
                <w:b/>
              </w:rPr>
            </w:pPr>
            <w:r>
              <w:rPr>
                <w:b/>
              </w:rPr>
              <w:t>Target Date</w:t>
            </w:r>
          </w:p>
        </w:tc>
        <w:tc>
          <w:p>
            <w:pPr>
              <w:spacing w:before="100" w:after="0"/>
            </w:pPr>
            <w:r>
              <w:rPr>
                <w:rFonts w:ascii="Calibri" w:hAnsi="Calibri"/>
                <w:color w:val="000000"/>
                <w:sz w:val="22"/>
              </w:rPr>
              <w:t xml:space="preserve">12/30/2011</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p>
            <w:pPr>
              <w:spacing w:before="100" w:after="0"/>
            </w:pPr>
            <w:r>
              <w:rPr>
                <w:rFonts w:ascii="Calibri" w:hAnsi="Calibri"/>
                <w:color w:val="000000"/>
                <w:sz w:val="22"/>
              </w:rPr>
              <w:t xml:space="preserve">353 rental units, of these 229 units will be affordable to households at or below 60% of ami and the remaing units are affordable to households at or below 80% of ami</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Location Description</w:t>
            </w:r>
          </w:p>
        </w:tc>
        <w:tc>
          <w:p>
            <w:pPr>
              <w:spacing w:before="100" w:after="0"/>
            </w:pPr>
            <w:r>
              <w:rPr>
                <w:rFonts w:ascii="Calibri" w:hAnsi="Calibri"/>
                <w:color w:val="000000"/>
                <w:sz w:val="22"/>
              </w:rPr>
              <w:t xml:space="preserve">Taylorsville Libeety Beacon project is located at about 5400 South 1500 West, The Utah Nonprofit preservation of 23 duplexes are located at multiple sites throughout Salt Lake  County, Magnolia is located at 165 South 300 East, 144 South project is located at 144 South 500 East</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Planned Activities</w:t>
            </w:r>
          </w:p>
        </w:tc>
        <w:tc>
          <w:p>
            <w:pPr>
              <w:spacing w:before="100" w:after="0"/>
            </w:pPr>
            <w:r>
              <w:rPr>
                <w:rFonts w:ascii="Calibri" w:hAnsi="Calibri"/>
                <w:color w:val="000000"/>
                <w:sz w:val="22"/>
              </w:rPr>
              <w:t xml:space="preserve">Three are new construction, Magnolia, 144 South, and Taylorsville Liberty Beacon. The Utah Non project of retrofitting 26 duplexes. is a preservation project.</w:t>
            </w:r>
          </w:p>
        </w:tc>
      </w:tr>
      <w:tr>
        <w:trPr>
          <w:cantSplit w:val="true"/>
        </w:trPr>
        <w:tc>
          <w:tcPr>
            <w:vMerge w:val="restart"/>
          </w:tcPr>
          <w:p>
            <w:r>
              <w:rPr>
                <w:b w:val="true"/>
              </w:rPr>
              <w:t>3</w:t>
            </w:r>
          </w:p>
        </w:tc>
        <w:tc>
          <w:p>
            <w:pPr>
              <w:keepNext w:val="true"/>
              <w:spacing w:before="100" w:after="0"/>
              <w:rPr>
                <w:b/>
              </w:rPr>
            </w:pPr>
            <w:r>
              <w:rPr>
                <w:b/>
              </w:rPr>
              <w:t>Project Name</w:t>
            </w:r>
          </w:p>
        </w:tc>
        <w:tc>
          <w:p>
            <w:pPr>
              <w:spacing w:before="100" w:after="0"/>
            </w:pPr>
            <w:r>
              <w:rPr>
                <w:rFonts w:ascii="Calibri" w:hAnsi="Calibri"/>
                <w:color w:val="000000"/>
                <w:sz w:val="22"/>
              </w:rPr>
              <w:t xml:space="preserve">HOME Tenant Based Rental Assistance</w:t>
            </w:r>
          </w:p>
        </w:tc>
      </w:tr>
      <w:tr>
        <w:trPr>
          <w:cantSplit w:val="true"/>
        </w:trPr>
        <w:tc>
          <w:tcPr>
            <w:vMerge/>
          </w:tcPr>
          <w:p/>
        </w:tc>
        <w:tc>
          <w:p>
            <w:pPr>
              <w:keepNext w:val="true"/>
              <w:spacing w:before="100" w:after="0"/>
              <w:rPr>
                <w:b/>
              </w:rPr>
            </w:pPr>
            <w:r>
              <w:rPr>
                <w:b/>
              </w:rPr>
              <w:t>Target Area</w:t>
            </w:r>
          </w:p>
        </w:tc>
        <w:tc>
          <w:p>
            <w:pPr>
              <w:spacing w:before="100" w:after="0"/>
            </w:pPr>
            <w:r>
              <w:rPr>
                <w:rFonts w:ascii="Calibri" w:hAnsi="Calibri"/>
                <w:color w:val="000000"/>
                <w:sz w:val="22"/>
              </w:rPr>
              <w:t xml:space="preserve">Salt Lake County</w:t>
            </w:r>
          </w:p>
        </w:tc>
      </w:tr>
      <w:tr>
        <w:trPr>
          <w:cantSplit w:val="true"/>
        </w:trPr>
        <w:tc>
          <w:tcPr>
            <w:vMerge/>
          </w:tcPr>
          <w:p/>
        </w:tc>
        <w:tc>
          <w:p>
            <w:pPr>
              <w:keepNext w:val="true"/>
              <w:spacing w:before="100" w:after="0"/>
              <w:rPr>
                <w:b/>
              </w:rPr>
            </w:pPr>
            <w:r>
              <w:rPr>
                <w:b/>
              </w:rPr>
              <w:t>Goals Supported</w:t>
            </w:r>
          </w:p>
        </w:tc>
        <w:tc>
          <w:p>
            <w:pPr>
              <w:spacing w:before="100" w:after="0"/>
            </w:pPr>
            <w:r>
              <w:rPr>
                <w:rFonts w:ascii="Calibri" w:hAnsi="Calibri"/>
                <w:color w:val="000000"/>
                <w:sz w:val="22"/>
              </w:rPr>
              <w:t xml:space="preserve">Rental Assistance</w:t>
            </w:r>
          </w:p>
        </w:tc>
      </w:tr>
      <w:tr>
        <w:trPr>
          <w:cantSplit w:val="true"/>
        </w:trPr>
        <w:tc>
          <w:tcPr>
            <w:vMerge/>
          </w:tcPr>
          <w:p/>
        </w:tc>
        <w:tc>
          <w:p>
            <w:pPr>
              <w:keepNext w:val="true"/>
              <w:spacing w:before="100" w:after="0"/>
              <w:rPr>
                <w:b/>
              </w:rPr>
            </w:pPr>
            <w:r>
              <w:rPr>
                <w:b/>
              </w:rPr>
              <w:t>Needs Addressed</w:t>
            </w:r>
          </w:p>
        </w:tc>
        <w:tc>
          <w:p>
            <w:pPr>
              <w:spacing w:before="100" w:after="0"/>
            </w:pPr>
            <w:r>
              <w:rPr>
                <w:rFonts w:ascii="Calibri" w:hAnsi="Calibri"/>
                <w:color w:val="000000"/>
                <w:sz w:val="22"/>
              </w:rPr>
              <w:t xml:space="preserve">Rental assistance</w:t>
            </w:r>
          </w:p>
        </w:tc>
      </w:tr>
      <w:tr>
        <w:trPr>
          <w:cantSplit w:val="true"/>
        </w:trPr>
        <w:tc>
          <w:tcPr>
            <w:vMerge/>
          </w:tcPr>
          <w:p/>
        </w:tc>
        <w:tc>
          <w:p>
            <w:pPr>
              <w:keepNext w:val="true"/>
              <w:spacing w:before="100" w:after="0"/>
              <w:rPr>
                <w:b/>
              </w:rPr>
            </w:pPr>
            <w:r>
              <w:rPr>
                <w:b/>
              </w:rPr>
              <w:t>Funding</w:t>
            </w:r>
          </w:p>
        </w:tc>
        <w:tc>
          <w:p>
            <w:pPr>
              <w:spacing w:before="100" w:after="0"/>
            </w:pPr>
            <w:r>
              <w:rPr>
                <w:rFonts w:ascii="Calibri" w:hAnsi="Calibri"/>
                <w:color w:val="000000"/>
                <w:sz w:val="22"/>
              </w:rPr>
              <w:t xml:space="preserve">HOME: $550,000</w:t>
            </w:r>
          </w:p>
        </w:tc>
      </w:tr>
      <w:tr>
        <w:trPr>
          <w:cantSplit w:val="true"/>
        </w:trPr>
        <w:tc>
          <w:tcPr>
            <w:vMerge/>
          </w:tcPr>
          <w:p/>
        </w:tc>
        <w:tc>
          <w:p>
            <w:pPr>
              <w:keepNext w:val="true"/>
              <w:spacing w:before="100" w:after="0"/>
              <w:rPr>
                <w:b/>
              </w:rPr>
            </w:pPr>
            <w:r>
              <w:rPr>
                <w:b/>
              </w:rPr>
              <w:t>Description</w:t>
            </w:r>
          </w:p>
        </w:tc>
        <w:tc>
          <w:p>
            <w:pPr>
              <w:spacing w:before="100" w:after="0"/>
            </w:pPr>
            <w:r>
              <w:rPr>
                <w:rFonts w:ascii="Calibri" w:hAnsi="Calibri"/>
                <w:color w:val="000000"/>
                <w:sz w:val="22"/>
              </w:rPr>
              <w:t xml:space="preserve">HOME funds will be provided to Road Home $300,000, and Housing Connect $250,000</w:t>
            </w:r>
          </w:p>
        </w:tc>
      </w:tr>
      <w:tr>
        <w:trPr>
          <w:cantSplit w:val="true"/>
        </w:trPr>
        <w:tc>
          <w:tcPr>
            <w:vMerge/>
          </w:tcPr>
          <w:p/>
        </w:tc>
        <w:tc>
          <w:p>
            <w:pPr>
              <w:keepNext w:val="true"/>
              <w:spacing w:before="100" w:after="0"/>
              <w:rPr>
                <w:b/>
              </w:rPr>
            </w:pPr>
            <w:r>
              <w:rPr>
                <w:b/>
              </w:rPr>
              <w:t>Target Date</w:t>
            </w:r>
          </w:p>
        </w:tc>
        <w:tc>
          <w:p>
            <w:pPr>
              <w:spacing w:before="100" w:after="0"/>
            </w:pPr>
            <w:r>
              <w:rPr>
                <w:rFonts w:ascii="Calibri" w:hAnsi="Calibri"/>
                <w:color w:val="000000"/>
                <w:sz w:val="22"/>
              </w:rPr>
              <w:t xml:space="preserve">6/30/2021</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p>
            <w:pPr>
              <w:spacing w:before="100" w:after="0"/>
            </w:pPr>
            <w:r>
              <w:rPr>
                <w:rFonts w:ascii="Calibri" w:hAnsi="Calibri"/>
                <w:color w:val="000000"/>
                <w:sz w:val="22"/>
              </w:rPr>
              <w:t xml:space="preserve">It is estimated 100 households will receive short term rental assistance</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Location Description</w:t>
            </w:r>
          </w:p>
        </w:tc>
        <w:tc>
          <w:p>
            <w:pPr>
              <w:spacing w:before="100" w:after="0"/>
            </w:pPr>
            <w:r>
              <w:rPr>
                <w:rFonts w:ascii="Calibri" w:hAnsi="Calibri"/>
                <w:color w:val="000000"/>
                <w:sz w:val="22"/>
              </w:rPr>
              <w:t xml:space="preserve">Throughout Salt Lake County</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Planned Activities</w:t>
            </w:r>
          </w:p>
        </w:tc>
        <w:tc>
          <w:p>
            <w:pPr>
              <w:spacing w:before="100" w:after="0"/>
            </w:pPr>
            <w:r>
              <w:rPr>
                <w:rFonts w:ascii="Calibri" w:hAnsi="Calibri"/>
                <w:color w:val="000000"/>
                <w:sz w:val="22"/>
              </w:rPr>
              <w:t xml:space="preserve">Short term rental assistance, security deposits and utilities are provided to households at or below 60% of ami. </w:t>
            </w:r>
          </w:p>
        </w:tc>
      </w:tr>
      <w:tr>
        <w:trPr>
          <w:cantSplit w:val="true"/>
        </w:trPr>
        <w:tc>
          <w:tcPr>
            <w:vMerge w:val="restart"/>
          </w:tcPr>
          <w:p>
            <w:r>
              <w:rPr>
                <w:b w:val="true"/>
              </w:rPr>
              <w:t>4</w:t>
            </w:r>
          </w:p>
        </w:tc>
        <w:tc>
          <w:p>
            <w:pPr>
              <w:keepNext w:val="true"/>
              <w:spacing w:before="100" w:after="0"/>
              <w:rPr>
                <w:b/>
              </w:rPr>
            </w:pPr>
            <w:r>
              <w:rPr>
                <w:b/>
              </w:rPr>
              <w:t>Project Name</w:t>
            </w:r>
          </w:p>
        </w:tc>
        <w:tc>
          <w:p>
            <w:pPr>
              <w:spacing w:before="100" w:after="0"/>
            </w:pPr>
            <w:r>
              <w:rPr>
                <w:rFonts w:ascii="Calibri" w:hAnsi="Calibri"/>
                <w:color w:val="000000"/>
                <w:sz w:val="22"/>
              </w:rPr>
              <w:t xml:space="preserve">HOME downpayment assistance</w:t>
            </w:r>
          </w:p>
        </w:tc>
      </w:tr>
      <w:tr>
        <w:trPr>
          <w:cantSplit w:val="true"/>
        </w:trPr>
        <w:tc>
          <w:tcPr>
            <w:vMerge/>
          </w:tcPr>
          <w:p/>
        </w:tc>
        <w:tc>
          <w:p>
            <w:pPr>
              <w:keepNext w:val="true"/>
              <w:spacing w:before="100" w:after="0"/>
              <w:rPr>
                <w:b/>
              </w:rPr>
            </w:pPr>
            <w:r>
              <w:rPr>
                <w:b/>
              </w:rPr>
              <w:t>Target Area</w:t>
            </w:r>
          </w:p>
        </w:tc>
        <w:tc>
          <w:p>
            <w:pPr>
              <w:spacing w:before="100" w:after="0"/>
            </w:pPr>
            <w:r>
              <w:rPr>
                <w:rFonts w:ascii="Calibri" w:hAnsi="Calibri"/>
                <w:color w:val="000000"/>
                <w:sz w:val="22"/>
              </w:rPr>
              <w:t xml:space="preserve">Salt Lake County</w:t>
            </w:r>
          </w:p>
        </w:tc>
      </w:tr>
      <w:tr>
        <w:trPr>
          <w:cantSplit w:val="true"/>
        </w:trPr>
        <w:tc>
          <w:tcPr>
            <w:vMerge/>
          </w:tcPr>
          <w:p/>
        </w:tc>
        <w:tc>
          <w:p>
            <w:pPr>
              <w:keepNext w:val="true"/>
              <w:spacing w:before="100" w:after="0"/>
              <w:rPr>
                <w:b/>
              </w:rPr>
            </w:pPr>
            <w:r>
              <w:rPr>
                <w:b/>
              </w:rPr>
              <w:t>Goals Supported</w:t>
            </w:r>
          </w:p>
        </w:tc>
        <w:tc>
          <w:p>
            <w:pPr>
              <w:spacing w:before="100" w:after="0"/>
            </w:pPr>
            <w:r>
              <w:rPr>
                <w:rFonts w:ascii="Calibri" w:hAnsi="Calibri"/>
                <w:color w:val="000000"/>
                <w:sz w:val="22"/>
              </w:rPr>
              <w:t xml:space="preserve">Homeownership</w:t>
            </w:r>
          </w:p>
        </w:tc>
      </w:tr>
      <w:tr>
        <w:trPr>
          <w:cantSplit w:val="true"/>
        </w:trPr>
        <w:tc>
          <w:tcPr>
            <w:vMerge/>
          </w:tcPr>
          <w:p/>
        </w:tc>
        <w:tc>
          <w:p>
            <w:pPr>
              <w:keepNext w:val="true"/>
              <w:spacing w:before="100" w:after="0"/>
              <w:rPr>
                <w:b/>
              </w:rPr>
            </w:pPr>
            <w:r>
              <w:rPr>
                <w:b/>
              </w:rPr>
              <w:t>Needs Addressed</w:t>
            </w:r>
          </w:p>
        </w:tc>
        <w:tc>
          <w:p>
            <w:pPr>
              <w:spacing w:before="100" w:after="0"/>
            </w:pPr>
            <w:r>
              <w:rPr>
                <w:rFonts w:ascii="Calibri" w:hAnsi="Calibri"/>
                <w:color w:val="000000"/>
                <w:sz w:val="22"/>
              </w:rPr>
              <w:t xml:space="preserve">Homeownership</w:t>
            </w:r>
          </w:p>
        </w:tc>
      </w:tr>
      <w:tr>
        <w:trPr>
          <w:cantSplit w:val="true"/>
        </w:trPr>
        <w:tc>
          <w:tcPr>
            <w:vMerge/>
          </w:tcPr>
          <w:p/>
        </w:tc>
        <w:tc>
          <w:p>
            <w:pPr>
              <w:keepNext w:val="true"/>
              <w:spacing w:before="100" w:after="0"/>
              <w:rPr>
                <w:b/>
              </w:rPr>
            </w:pPr>
            <w:r>
              <w:rPr>
                <w:b/>
              </w:rPr>
              <w:t>Funding</w:t>
            </w:r>
          </w:p>
        </w:tc>
        <w:tc>
          <w:p>
            <w:pPr>
              <w:spacing w:before="100" w:after="0"/>
            </w:pPr>
            <w:r>
              <w:rPr>
                <w:rFonts w:ascii="Calibri" w:hAnsi="Calibri"/>
                <w:color w:val="000000"/>
                <w:sz w:val="22"/>
              </w:rPr>
              <w:t xml:space="preserve">HOME: $117,000</w:t>
            </w:r>
          </w:p>
        </w:tc>
      </w:tr>
      <w:tr>
        <w:trPr>
          <w:cantSplit w:val="true"/>
        </w:trPr>
        <w:tc>
          <w:tcPr>
            <w:vMerge/>
          </w:tcPr>
          <w:p/>
        </w:tc>
        <w:tc>
          <w:p>
            <w:pPr>
              <w:keepNext w:val="true"/>
              <w:spacing w:before="100" w:after="0"/>
              <w:rPr>
                <w:b/>
              </w:rPr>
            </w:pPr>
            <w:r>
              <w:rPr>
                <w:b/>
              </w:rPr>
              <w:t>Description</w:t>
            </w:r>
          </w:p>
        </w:tc>
        <w:tc>
          <w:p>
            <w:pPr>
              <w:spacing w:before="100" w:after="0"/>
            </w:pPr>
            <w:r>
              <w:rPr>
                <w:rFonts w:ascii="Calibri" w:hAnsi="Calibri"/>
                <w:color w:val="000000"/>
                <w:sz w:val="22"/>
              </w:rPr>
              <w:t xml:space="preserve">West Valley City will provide $33,000 for downpayment assistance and Taylorsville will provide $84,000 for dpa</w:t>
            </w:r>
          </w:p>
        </w:tc>
      </w:tr>
      <w:tr>
        <w:trPr>
          <w:cantSplit w:val="true"/>
        </w:trPr>
        <w:tc>
          <w:tcPr>
            <w:vMerge/>
          </w:tcPr>
          <w:p/>
        </w:tc>
        <w:tc>
          <w:p>
            <w:pPr>
              <w:keepNext w:val="true"/>
              <w:spacing w:before="100" w:after="0"/>
              <w:rPr>
                <w:b/>
              </w:rPr>
            </w:pPr>
            <w:r>
              <w:rPr>
                <w:b/>
              </w:rPr>
              <w:t>Target Date</w:t>
            </w:r>
          </w:p>
        </w:tc>
        <w:tc>
          <w:p>
            <w:pPr>
              <w:spacing w:before="100" w:after="0"/>
            </w:pPr>
            <w:r>
              <w:rPr>
                <w:rFonts w:ascii="Calibri" w:hAnsi="Calibri"/>
                <w:color w:val="000000"/>
                <w:sz w:val="22"/>
              </w:rPr>
              <w:t xml:space="preserve">6/30/2021</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p>
            <w:pPr>
              <w:spacing w:before="100" w:after="0"/>
            </w:pPr>
            <w:r>
              <w:rPr>
                <w:rFonts w:ascii="Calibri" w:hAnsi="Calibri"/>
                <w:color w:val="000000"/>
                <w:sz w:val="22"/>
              </w:rPr>
              <w:t xml:space="preserve">10 households will receive down payment assistance</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Location Description</w:t>
            </w:r>
          </w:p>
        </w:tc>
        <w:tc>
          <w:p>
            <w:pPr>
              <w:spacing w:before="100" w:after="0"/>
            </w:pPr>
            <w:r>
              <w:rPr>
                <w:rFonts w:ascii="Calibri" w:hAnsi="Calibri"/>
                <w:color w:val="000000"/>
                <w:sz w:val="22"/>
              </w:rPr>
              <w:t xml:space="preserve">West Valley City and Taylorsville City</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Planned Activities</w:t>
            </w:r>
          </w:p>
        </w:tc>
        <w:tc>
          <w:p>
            <w:pPr>
              <w:spacing w:before="100" w:after="0"/>
            </w:pPr>
            <w:r>
              <w:rPr>
                <w:rFonts w:ascii="Calibri" w:hAnsi="Calibri"/>
                <w:color w:val="000000"/>
                <w:sz w:val="22"/>
              </w:rPr>
              <w:t xml:space="preserve">Downpayment assistance is provided to house holds located in West Valley City and Taylorsville City</w:t>
            </w:r>
          </w:p>
        </w:tc>
      </w:tr>
      <w:tr>
        <w:trPr>
          <w:cantSplit w:val="true"/>
        </w:trPr>
        <w:tc>
          <w:tcPr>
            <w:vMerge w:val="restart"/>
          </w:tcPr>
          <w:p>
            <w:r>
              <w:rPr>
                <w:b w:val="true"/>
              </w:rPr>
              <w:t>5</w:t>
            </w:r>
          </w:p>
        </w:tc>
        <w:tc>
          <w:p>
            <w:pPr>
              <w:keepNext w:val="true"/>
              <w:spacing w:before="100" w:after="0"/>
              <w:rPr>
                <w:b/>
              </w:rPr>
            </w:pPr>
            <w:r>
              <w:rPr>
                <w:b/>
              </w:rPr>
              <w:t>Project Name</w:t>
            </w:r>
          </w:p>
        </w:tc>
        <w:tc>
          <w:p>
            <w:pPr>
              <w:spacing w:before="100" w:after="0"/>
            </w:pPr>
            <w:r>
              <w:rPr>
                <w:rFonts w:ascii="Calibri" w:hAnsi="Calibri"/>
                <w:color w:val="000000"/>
                <w:sz w:val="22"/>
              </w:rPr>
              <w:t xml:space="preserve">Administration</w:t>
            </w:r>
          </w:p>
        </w:tc>
      </w:tr>
      <w:tr>
        <w:trPr>
          <w:cantSplit w:val="true"/>
        </w:trPr>
        <w:tc>
          <w:tcPr>
            <w:vMerge/>
          </w:tcPr>
          <w:p/>
        </w:tc>
        <w:tc>
          <w:p>
            <w:pPr>
              <w:keepNext w:val="true"/>
              <w:spacing w:before="100" w:after="0"/>
              <w:rPr>
                <w:b/>
              </w:rPr>
            </w:pPr>
            <w:r>
              <w:rPr>
                <w:b/>
              </w:rPr>
              <w:t>Target Area</w:t>
            </w:r>
          </w:p>
        </w:tc>
        <w:tc>
          <w:p>
            <w:pPr>
              <w:spacing w:before="100" w:after="0"/>
            </w:pPr>
            <w:r>
              <w:rPr>
                <w:rFonts w:ascii="Calibri" w:hAnsi="Calibri"/>
                <w:color w:val="000000"/>
                <w:sz w:val="22"/>
              </w:rPr>
              <w:t xml:space="preserve">Salt Lake County</w:t>
            </w:r>
          </w:p>
        </w:tc>
      </w:tr>
      <w:tr>
        <w:trPr>
          <w:cantSplit w:val="true"/>
        </w:trPr>
        <w:tc>
          <w:tcPr>
            <w:vMerge/>
          </w:tcPr>
          <w:p/>
        </w:tc>
        <w:tc>
          <w:p>
            <w:pPr>
              <w:keepNext w:val="true"/>
              <w:spacing w:before="100" w:after="0"/>
              <w:rPr>
                <w:b/>
              </w:rPr>
            </w:pPr>
            <w:r>
              <w:rPr>
                <w:b/>
              </w:rPr>
              <w:t>Goals Supported</w:t>
            </w:r>
          </w:p>
        </w:tc>
        <w:tc>
          <w:p>
            <w:pPr>
              <w:spacing w:before="100" w:after="0"/>
            </w:pPr>
            <w:r>
              <w:rPr>
                <w:rFonts w:ascii="Calibri" w:hAnsi="Calibri"/>
                <w:color w:val="000000"/>
                <w:sz w:val="22"/>
              </w:rPr>
              <w:t xml:space="preserve">Housing Rehabilitation &amp; Accessibility</w:t>
            </w:r>
            <w:r>
              <w:rPr>
                <w:rFonts w:ascii="Calibri" w:hAnsi="Calibri"/>
                <w:color w:val="000000"/>
                <w:sz w:val="22"/>
              </w:rPr>
              <w:br/>
              <w:t xml:space="preserve"/>
            </w:r>
            <w:r>
              <w:rPr>
                <w:rFonts w:ascii="Calibri" w:hAnsi="Calibri"/>
                <w:color w:val="000000"/>
                <w:sz w:val="22"/>
              </w:rPr>
              <w:t xml:space="preserve">Rental Housing</w:t>
            </w:r>
            <w:r>
              <w:rPr>
                <w:rFonts w:ascii="Calibri" w:hAnsi="Calibri"/>
                <w:color w:val="000000"/>
                <w:sz w:val="22"/>
              </w:rPr>
              <w:br/>
              <w:t xml:space="preserve"/>
            </w:r>
            <w:r>
              <w:rPr>
                <w:rFonts w:ascii="Calibri" w:hAnsi="Calibri"/>
                <w:color w:val="000000"/>
                <w:sz w:val="22"/>
              </w:rPr>
              <w:t xml:space="preserve">Rental Assistance</w:t>
            </w:r>
            <w:r>
              <w:rPr>
                <w:rFonts w:ascii="Calibri" w:hAnsi="Calibri"/>
                <w:color w:val="000000"/>
                <w:sz w:val="22"/>
              </w:rPr>
              <w:br/>
              <w:t xml:space="preserve"/>
            </w:r>
            <w:r>
              <w:rPr>
                <w:rFonts w:ascii="Calibri" w:hAnsi="Calibri"/>
                <w:color w:val="000000"/>
                <w:sz w:val="22"/>
              </w:rPr>
              <w:t xml:space="preserve">Homeownership</w:t>
            </w:r>
            <w:r>
              <w:rPr>
                <w:rFonts w:ascii="Calibri" w:hAnsi="Calibri"/>
                <w:color w:val="000000"/>
                <w:sz w:val="22"/>
              </w:rPr>
              <w:br/>
              <w:t xml:space="preserve"/>
            </w:r>
            <w:r>
              <w:rPr>
                <w:rFonts w:ascii="Calibri" w:hAnsi="Calibri"/>
                <w:color w:val="000000"/>
                <w:sz w:val="22"/>
              </w:rPr>
              <w:t xml:space="preserve">Infrastructure</w:t>
            </w:r>
            <w:r>
              <w:rPr>
                <w:rFonts w:ascii="Calibri" w:hAnsi="Calibri"/>
                <w:color w:val="000000"/>
                <w:sz w:val="22"/>
              </w:rPr>
              <w:br/>
              <w:t xml:space="preserve"/>
            </w:r>
            <w:r>
              <w:rPr>
                <w:rFonts w:ascii="Calibri" w:hAnsi="Calibri"/>
                <w:color w:val="000000"/>
                <w:sz w:val="22"/>
              </w:rPr>
              <w:t xml:space="preserve">Public facilities</w:t>
            </w:r>
            <w:r>
              <w:rPr>
                <w:rFonts w:ascii="Calibri" w:hAnsi="Calibri"/>
                <w:color w:val="000000"/>
                <w:sz w:val="22"/>
              </w:rPr>
              <w:br/>
              <w:t xml:space="preserve"/>
            </w:r>
            <w:r>
              <w:rPr>
                <w:rFonts w:ascii="Calibri" w:hAnsi="Calibri"/>
                <w:color w:val="000000"/>
                <w:sz w:val="22"/>
              </w:rPr>
              <w:t xml:space="preserve">Access to crisis assistance</w:t>
            </w:r>
            <w:r>
              <w:rPr>
                <w:rFonts w:ascii="Calibri" w:hAnsi="Calibri"/>
                <w:color w:val="000000"/>
                <w:sz w:val="22"/>
              </w:rPr>
              <w:br/>
              <w:t xml:space="preserve"/>
            </w:r>
            <w:r>
              <w:rPr>
                <w:rFonts w:ascii="Calibri" w:hAnsi="Calibri"/>
                <w:color w:val="000000"/>
                <w:sz w:val="22"/>
              </w:rPr>
              <w:t xml:space="preserve">Stability and safety</w:t>
            </w:r>
            <w:r>
              <w:rPr>
                <w:rFonts w:ascii="Calibri" w:hAnsi="Calibri"/>
                <w:color w:val="000000"/>
                <w:sz w:val="22"/>
              </w:rPr>
              <w:br/>
              <w:t xml:space="preserve"/>
            </w:r>
            <w:r>
              <w:rPr>
                <w:rFonts w:ascii="Calibri" w:hAnsi="Calibri"/>
                <w:color w:val="000000"/>
                <w:sz w:val="22"/>
              </w:rPr>
              <w:t xml:space="preserve">Economic stability</w:t>
            </w:r>
          </w:p>
        </w:tc>
      </w:tr>
      <w:tr>
        <w:trPr>
          <w:cantSplit w:val="true"/>
        </w:trPr>
        <w:tc>
          <w:tcPr>
            <w:vMerge/>
          </w:tcPr>
          <w:p/>
        </w:tc>
        <w:tc>
          <w:p>
            <w:pPr>
              <w:keepNext w:val="true"/>
              <w:spacing w:before="100" w:after="0"/>
              <w:rPr>
                <w:b/>
              </w:rPr>
            </w:pPr>
            <w:r>
              <w:rPr>
                <w:b/>
              </w:rPr>
              <w:t>Needs Addressed</w:t>
            </w:r>
          </w:p>
        </w:tc>
        <w:tc>
          <w:p>
            <w:pPr>
              <w:spacing w:before="100" w:after="0"/>
            </w:pPr>
            <w:r>
              <w:rPr>
                <w:rFonts w:ascii="Calibri" w:hAnsi="Calibri"/>
                <w:color w:val="000000"/>
                <w:sz w:val="22"/>
              </w:rPr>
              <w:t xml:space="preserve">Housing Rehabilitation</w:t>
            </w:r>
            <w:r>
              <w:rPr>
                <w:rFonts w:ascii="Calibri" w:hAnsi="Calibri"/>
                <w:color w:val="000000"/>
                <w:sz w:val="22"/>
              </w:rPr>
              <w:br/>
              <w:t xml:space="preserve"/>
            </w:r>
            <w:r>
              <w:rPr>
                <w:rFonts w:ascii="Calibri" w:hAnsi="Calibri"/>
                <w:color w:val="000000"/>
                <w:sz w:val="22"/>
              </w:rPr>
              <w:t xml:space="preserve">Rental Housing</w:t>
            </w:r>
            <w:r>
              <w:rPr>
                <w:rFonts w:ascii="Calibri" w:hAnsi="Calibri"/>
                <w:color w:val="000000"/>
                <w:sz w:val="22"/>
              </w:rPr>
              <w:br/>
              <w:t xml:space="preserve"/>
            </w:r>
            <w:r>
              <w:rPr>
                <w:rFonts w:ascii="Calibri" w:hAnsi="Calibri"/>
                <w:color w:val="000000"/>
                <w:sz w:val="22"/>
              </w:rPr>
              <w:t xml:space="preserve">Rental assistance</w:t>
            </w:r>
            <w:r>
              <w:rPr>
                <w:rFonts w:ascii="Calibri" w:hAnsi="Calibri"/>
                <w:color w:val="000000"/>
                <w:sz w:val="22"/>
              </w:rPr>
              <w:br/>
              <w:t xml:space="preserve"/>
            </w:r>
            <w:r>
              <w:rPr>
                <w:rFonts w:ascii="Calibri" w:hAnsi="Calibri"/>
                <w:color w:val="000000"/>
                <w:sz w:val="22"/>
              </w:rPr>
              <w:t xml:space="preserve">Homeownership</w:t>
            </w:r>
            <w:r>
              <w:rPr>
                <w:rFonts w:ascii="Calibri" w:hAnsi="Calibri"/>
                <w:color w:val="000000"/>
                <w:sz w:val="22"/>
              </w:rPr>
              <w:br/>
              <w:t xml:space="preserve"/>
            </w:r>
            <w:r>
              <w:rPr>
                <w:rFonts w:ascii="Calibri" w:hAnsi="Calibri"/>
                <w:color w:val="000000"/>
                <w:sz w:val="22"/>
              </w:rPr>
              <w:t xml:space="preserve">Infrastructure</w:t>
            </w:r>
            <w:r>
              <w:rPr>
                <w:rFonts w:ascii="Calibri" w:hAnsi="Calibri"/>
                <w:color w:val="000000"/>
                <w:sz w:val="22"/>
              </w:rPr>
              <w:br/>
              <w:t xml:space="preserve"/>
            </w:r>
            <w:r>
              <w:rPr>
                <w:rFonts w:ascii="Calibri" w:hAnsi="Calibri"/>
                <w:color w:val="000000"/>
                <w:sz w:val="22"/>
              </w:rPr>
              <w:t xml:space="preserve">Public Facilities</w:t>
            </w:r>
            <w:r>
              <w:rPr>
                <w:rFonts w:ascii="Calibri" w:hAnsi="Calibri"/>
                <w:color w:val="000000"/>
                <w:sz w:val="22"/>
              </w:rPr>
              <w:br/>
              <w:t xml:space="preserve"/>
            </w:r>
            <w:r>
              <w:rPr>
                <w:rFonts w:ascii="Calibri" w:hAnsi="Calibri"/>
                <w:color w:val="000000"/>
                <w:sz w:val="22"/>
              </w:rPr>
              <w:t xml:space="preserve">Access to crisis assistance</w:t>
            </w:r>
            <w:r>
              <w:rPr>
                <w:rFonts w:ascii="Calibri" w:hAnsi="Calibri"/>
                <w:color w:val="000000"/>
                <w:sz w:val="22"/>
              </w:rPr>
              <w:br/>
              <w:t xml:space="preserve"/>
            </w:r>
            <w:r>
              <w:rPr>
                <w:rFonts w:ascii="Calibri" w:hAnsi="Calibri"/>
                <w:color w:val="000000"/>
                <w:sz w:val="22"/>
              </w:rPr>
              <w:t xml:space="preserve">Stability and Safety</w:t>
            </w:r>
            <w:r>
              <w:rPr>
                <w:rFonts w:ascii="Calibri" w:hAnsi="Calibri"/>
                <w:color w:val="000000"/>
                <w:sz w:val="22"/>
              </w:rPr>
              <w:br/>
              <w:t xml:space="preserve"/>
            </w:r>
            <w:r>
              <w:rPr>
                <w:rFonts w:ascii="Calibri" w:hAnsi="Calibri"/>
                <w:color w:val="000000"/>
                <w:sz w:val="22"/>
              </w:rPr>
              <w:t xml:space="preserve">Economic  Stability</w:t>
            </w:r>
          </w:p>
        </w:tc>
      </w:tr>
      <w:tr>
        <w:trPr>
          <w:cantSplit w:val="true"/>
        </w:trPr>
        <w:tc>
          <w:tcPr>
            <w:vMerge/>
          </w:tcPr>
          <w:p/>
        </w:tc>
        <w:tc>
          <w:p>
            <w:pPr>
              <w:keepNext w:val="true"/>
              <w:spacing w:before="100" w:after="0"/>
              <w:rPr>
                <w:b/>
              </w:rPr>
            </w:pPr>
            <w:r>
              <w:rPr>
                <w:b/>
              </w:rPr>
              <w:t>Funding</w:t>
            </w:r>
          </w:p>
        </w:tc>
        <w:tc>
          <w:p>
            <w:pPr>
              <w:spacing w:before="100" w:after="0"/>
            </w:pPr>
            <w:r>
              <w:rPr>
                <w:rFonts w:ascii="Calibri" w:hAnsi="Calibri"/>
                <w:color w:val="000000"/>
                <w:sz w:val="22"/>
              </w:rPr>
              <w:t xml:space="preserve">HOME: $375,059</w:t>
            </w:r>
          </w:p>
        </w:tc>
      </w:tr>
      <w:tr>
        <w:trPr>
          <w:cantSplit w:val="true"/>
        </w:trPr>
        <w:tc>
          <w:tcPr>
            <w:vMerge/>
          </w:tcPr>
          <w:p/>
        </w:tc>
        <w:tc>
          <w:p>
            <w:pPr>
              <w:keepNext w:val="true"/>
              <w:spacing w:before="100" w:after="0"/>
              <w:rPr>
                <w:b/>
              </w:rPr>
            </w:pPr>
            <w:r>
              <w:rPr>
                <w:b/>
              </w:rPr>
              <w:t>Description</w:t>
            </w:r>
          </w:p>
        </w:tc>
        <w:tc>
          <w:p>
            <w:pPr>
              <w:spacing w:before="100" w:after="0"/>
            </w:pPr>
            <w:r>
              <w:rPr>
                <w:rFonts w:ascii="Calibri" w:hAnsi="Calibri"/>
                <w:color w:val="000000"/>
                <w:sz w:val="22"/>
              </w:rPr>
              <w:t xml:space="preserve">Salt Lake County will use HOME funds to cover the cost of administering this program</w:t>
            </w:r>
          </w:p>
        </w:tc>
      </w:tr>
      <w:tr>
        <w:trPr>
          <w:cantSplit w:val="true"/>
        </w:trPr>
        <w:tc>
          <w:tcPr>
            <w:vMerge/>
          </w:tcPr>
          <w:p/>
        </w:tc>
        <w:tc>
          <w:p>
            <w:pPr>
              <w:keepNext w:val="true"/>
              <w:spacing w:before="100" w:after="0"/>
              <w:rPr>
                <w:b/>
              </w:rPr>
            </w:pPr>
            <w:r>
              <w:rPr>
                <w:b/>
              </w:rPr>
              <w:t>Target Date</w:t>
            </w:r>
          </w:p>
        </w:tc>
        <w:tc>
          <w:p>
            <w:pPr>
              <w:spacing w:before="100" w:after="0"/>
            </w:pPr>
            <w:r>
              <w:rPr>
                <w:rFonts w:ascii="Calibri" w:hAnsi="Calibri"/>
                <w:color w:val="000000"/>
                <w:sz w:val="22"/>
              </w:rPr>
              <w:t xml:space="preserve">6/30/2021</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p>
            <w:pPr>
              <w:spacing w:before="100" w:after="0"/>
            </w:pPr>
            <w:r>
              <w:rPr>
                <w:rFonts w:ascii="Calibri" w:hAnsi="Calibri"/>
                <w:color w:val="000000"/>
                <w:sz w:val="22"/>
              </w:rPr>
              <w:t xml:space="preserve">it is estimated that through HOME funds: 100 very low income households will be assisted through the funding of TBRA programs (Road Home, Housing Connect), four rental housing projecrs will assistance to help fund the Taylorsville Liberty Beacon (142 units), Magnolia (65 units for very low income households), 144 South (100 units very low income, low income and moderate incone), Utah Nonprofit Preservation of 23 duplexes. Downpayment assistance will be provided to 10 moderate income housholds through West Valley City and Taylorsville City.  100 low and moderate income housesholds will receive funding through to Salt Lake Valley Habitat for Humanity, and CDCU to make their homes healthy and safe.</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Location Description</w:t>
            </w:r>
          </w:p>
        </w:tc>
        <w:tc>
          <w:p>
            <w:pPr>
              <w:spacing w:before="100" w:after="0"/>
            </w:pPr>
            <w:r>
              <w:rPr>
                <w:rFonts w:ascii="Calibri" w:hAnsi="Calibri"/>
                <w:color w:val="000000"/>
                <w:sz w:val="22"/>
              </w:rPr>
              <w:t xml:space="preserve">Salt Lake County</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Planned Activities</w:t>
            </w:r>
          </w:p>
        </w:tc>
        <w:tc>
          <w:p>
            <w:pPr>
              <w:spacing w:before="100" w:after="0"/>
            </w:pPr>
            <w:r>
              <w:rPr>
                <w:rFonts w:ascii="Calibri" w:hAnsi="Calibri"/>
                <w:color w:val="000000"/>
                <w:sz w:val="22"/>
              </w:rPr>
              <w:t xml:space="preserve">Salt Lake County will use these funds to cover the cost of administering the HOME program</w:t>
            </w:r>
          </w:p>
        </w:tc>
      </w:tr>
      <w:tr>
        <w:trPr>
          <w:cantSplit w:val="true"/>
        </w:trPr>
        <w:tc>
          <w:tcPr>
            <w:vMerge w:val="restart"/>
          </w:tcPr>
          <w:p>
            <w:r>
              <w:rPr>
                <w:b w:val="true"/>
              </w:rPr>
              <w:t>6</w:t>
            </w:r>
          </w:p>
        </w:tc>
        <w:tc>
          <w:p>
            <w:pPr>
              <w:keepNext w:val="true"/>
              <w:spacing w:before="100" w:after="0"/>
              <w:rPr>
                <w:b/>
              </w:rPr>
            </w:pPr>
            <w:r>
              <w:rPr>
                <w:b/>
              </w:rPr>
              <w:t>Project Name</w:t>
            </w:r>
          </w:p>
        </w:tc>
        <w:tc>
          <w:p>
            <w:pPr>
              <w:spacing w:before="100" w:after="0"/>
            </w:pPr>
            <w:r>
              <w:rPr>
                <w:rFonts w:ascii="Calibri" w:hAnsi="Calibri"/>
                <w:color w:val="000000"/>
                <w:sz w:val="22"/>
              </w:rPr>
              <w:t xml:space="preserve">01-CDBG Affordable Housing</w:t>
            </w:r>
          </w:p>
        </w:tc>
      </w:tr>
      <w:tr>
        <w:trPr>
          <w:cantSplit w:val="true"/>
        </w:trPr>
        <w:tc>
          <w:tcPr>
            <w:vMerge/>
          </w:tcPr>
          <w:p/>
        </w:tc>
        <w:tc>
          <w:p>
            <w:pPr>
              <w:keepNext w:val="true"/>
              <w:spacing w:before="100" w:after="0"/>
              <w:rPr>
                <w:b/>
              </w:rPr>
            </w:pPr>
            <w:r>
              <w:rPr>
                <w:b/>
              </w:rPr>
              <w:t>Target Area</w:t>
            </w:r>
          </w:p>
        </w:tc>
        <w:tc>
          <w:p>
            <w:pPr>
              <w:spacing w:before="100" w:after="0"/>
            </w:pPr>
            <w:r>
              <w:rPr>
                <w:rFonts w:ascii="Calibri" w:hAnsi="Calibri"/>
                <w:color w:val="000000"/>
                <w:sz w:val="22"/>
              </w:rPr>
              <w:t xml:space="preserve">Salt Lake County</w:t>
            </w:r>
          </w:p>
        </w:tc>
      </w:tr>
      <w:tr>
        <w:trPr>
          <w:cantSplit w:val="true"/>
        </w:trPr>
        <w:tc>
          <w:tcPr>
            <w:vMerge/>
          </w:tcPr>
          <w:p/>
        </w:tc>
        <w:tc>
          <w:p>
            <w:pPr>
              <w:keepNext w:val="true"/>
              <w:spacing w:before="100" w:after="0"/>
              <w:rPr>
                <w:b/>
              </w:rPr>
            </w:pPr>
            <w:r>
              <w:rPr>
                <w:b/>
              </w:rPr>
              <w:t>Goals Supported</w:t>
            </w:r>
          </w:p>
        </w:tc>
        <w:tc>
          <w:p>
            <w:pPr>
              <w:spacing w:before="100" w:after="0"/>
            </w:pPr>
            <w:r>
              <w:rPr>
                <w:rFonts w:ascii="Calibri" w:hAnsi="Calibri"/>
                <w:color w:val="000000"/>
                <w:sz w:val="22"/>
              </w:rPr>
              <w:t xml:space="preserve">Homeownership</w:t>
            </w:r>
          </w:p>
        </w:tc>
      </w:tr>
      <w:tr>
        <w:trPr>
          <w:cantSplit w:val="true"/>
        </w:trPr>
        <w:tc>
          <w:tcPr>
            <w:vMerge/>
          </w:tcPr>
          <w:p/>
        </w:tc>
        <w:tc>
          <w:p>
            <w:pPr>
              <w:keepNext w:val="true"/>
              <w:spacing w:before="100" w:after="0"/>
              <w:rPr>
                <w:b/>
              </w:rPr>
            </w:pPr>
            <w:r>
              <w:rPr>
                <w:b/>
              </w:rPr>
              <w:t>Needs Addressed</w:t>
            </w:r>
          </w:p>
        </w:tc>
        <w:tc>
          <w:p>
            <w:pPr>
              <w:spacing w:before="100" w:after="0"/>
            </w:pPr>
            <w:r>
              <w:rPr>
                <w:rFonts w:ascii="Calibri" w:hAnsi="Calibri"/>
                <w:color w:val="000000"/>
                <w:sz w:val="22"/>
              </w:rPr>
              <w:t xml:space="preserve">Homeownership</w:t>
            </w:r>
          </w:p>
        </w:tc>
      </w:tr>
      <w:tr>
        <w:trPr>
          <w:cantSplit w:val="true"/>
        </w:trPr>
        <w:tc>
          <w:tcPr>
            <w:vMerge/>
          </w:tcPr>
          <w:p/>
        </w:tc>
        <w:tc>
          <w:p>
            <w:pPr>
              <w:keepNext w:val="true"/>
              <w:spacing w:before="100" w:after="0"/>
              <w:rPr>
                <w:b/>
              </w:rPr>
            </w:pPr>
            <w:r>
              <w:rPr>
                <w:b/>
              </w:rPr>
              <w:t>Funding</w:t>
            </w:r>
          </w:p>
        </w:tc>
        <w:tc>
          <w:p>
            <w:pPr>
              <w:spacing w:before="100" w:after="0"/>
            </w:pPr>
            <w:r>
              <w:rPr>
                <w:rFonts w:ascii="Calibri" w:hAnsi="Calibri"/>
                <w:color w:val="000000"/>
                <w:sz w:val="22"/>
              </w:rPr>
              <w:t xml:space="preserve">CDBG: $204,741</w:t>
            </w:r>
          </w:p>
        </w:tc>
      </w:tr>
      <w:tr>
        <w:trPr>
          <w:cantSplit w:val="true"/>
        </w:trPr>
        <w:tc>
          <w:tcPr>
            <w:vMerge/>
          </w:tcPr>
          <w:p/>
        </w:tc>
        <w:tc>
          <w:p>
            <w:pPr>
              <w:keepNext w:val="true"/>
              <w:spacing w:before="100" w:after="0"/>
              <w:rPr>
                <w:b/>
              </w:rPr>
            </w:pPr>
            <w:r>
              <w:rPr>
                <w:b/>
              </w:rPr>
              <w:t>Description</w:t>
            </w:r>
          </w:p>
        </w:tc>
        <w:tc>
          <w:p>
            <w:pPr>
              <w:spacing w:before="100" w:after="0"/>
            </w:pPr>
            <w:r>
              <w:rPr>
                <w:rFonts w:ascii="Calibri" w:hAnsi="Calibri"/>
                <w:color w:val="000000"/>
                <w:sz w:val="22"/>
              </w:rPr>
              <w:t xml:space="preserve">Funds may be allocated to activities that provide Home Ownership through Down Payment Assistance and Property Acquisition for Housing Development.</w:t>
            </w:r>
          </w:p>
        </w:tc>
      </w:tr>
      <w:tr>
        <w:trPr>
          <w:cantSplit w:val="true"/>
        </w:trPr>
        <w:tc>
          <w:tcPr>
            <w:vMerge/>
          </w:tcPr>
          <w:p/>
        </w:tc>
        <w:tc>
          <w:p>
            <w:pPr>
              <w:keepNext w:val="true"/>
              <w:spacing w:before="100" w:after="0"/>
              <w:rPr>
                <w:b/>
              </w:rPr>
            </w:pPr>
            <w:r>
              <w:rPr>
                <w:b/>
              </w:rPr>
              <w:t>Target Date</w:t>
            </w:r>
          </w:p>
        </w:tc>
        <w:tc>
          <w:p>
            <w:pPr>
              <w:spacing w:before="100" w:after="0"/>
            </w:pPr>
            <w:r>
              <w:rPr>
                <w:rFonts w:ascii="Calibri" w:hAnsi="Calibri"/>
                <w:color w:val="000000"/>
                <w:sz w:val="22"/>
              </w:rPr>
              <w:t xml:space="preserve">6/30/2021</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p>
            <w:pPr>
              <w:spacing w:before="100" w:after="0"/>
            </w:pPr>
            <w:r>
              <w:rPr>
                <w:rFonts w:ascii="Calibri" w:hAnsi="Calibri"/>
                <w:color w:val="000000"/>
                <w:sz w:val="22"/>
              </w:rPr>
              <w:t xml:space="preserve">56 LMI households (families) will benefit from down payment assistance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Location Description</w:t>
            </w:r>
          </w:p>
        </w:tc>
        <w:tc>
          <w:p>
            <w:pPr>
              <w:spacing w:before="100" w:after="0"/>
            </w:pPr>
            <w:r>
              <w:rPr>
                <w:rFonts w:ascii="Calibri" w:hAnsi="Calibri"/>
                <w:color w:val="000000"/>
                <w:sz w:val="22"/>
              </w:rPr>
              <w:t xml:space="preserve">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Planned Activities</w:t>
            </w:r>
          </w:p>
        </w:tc>
        <w:tc>
          <w:p>
            <w:pPr>
              <w:spacing w:before="100" w:after="0"/>
            </w:pPr>
            <w:r>
              <w:rPr>
                <w:rFonts w:ascii="Calibri" w:hAnsi="Calibri"/>
                <w:color w:val="000000"/>
                <w:sz w:val="22"/>
              </w:rPr>
              <w:t xml:space="preserve">Community Development Corporation (CDC) will provide DPA to 50 LMI households</w:t>
            </w:r>
          </w:p>
          <w:p>
            <w:pPr>
              <w:spacing w:before="100" w:after="0"/>
            </w:pPr>
            <w:r>
              <w:rPr>
                <w:rFonts w:ascii="Calibri" w:hAnsi="Calibri"/>
                <w:color w:val="000000"/>
                <w:sz w:val="22"/>
              </w:rPr>
              <w:t xml:space="preserve">International Rescue Committee (IRS) will provide Down Payment Assistance (DPA) to 6 LMI households.  </w:t>
            </w:r>
          </w:p>
        </w:tc>
      </w:tr>
      <w:tr>
        <w:trPr>
          <w:cantSplit w:val="true"/>
        </w:trPr>
        <w:tc>
          <w:tcPr>
            <w:vMerge w:val="restart"/>
          </w:tcPr>
          <w:p>
            <w:r>
              <w:rPr>
                <w:b w:val="true"/>
              </w:rPr>
              <w:t>7</w:t>
            </w:r>
          </w:p>
        </w:tc>
        <w:tc>
          <w:p>
            <w:pPr>
              <w:keepNext w:val="true"/>
              <w:spacing w:before="100" w:after="0"/>
              <w:rPr>
                <w:b/>
              </w:rPr>
            </w:pPr>
            <w:r>
              <w:rPr>
                <w:b/>
              </w:rPr>
              <w:t>Project Name</w:t>
            </w:r>
          </w:p>
        </w:tc>
        <w:tc>
          <w:p>
            <w:pPr>
              <w:spacing w:before="100" w:after="0"/>
            </w:pPr>
            <w:r>
              <w:rPr>
                <w:rFonts w:ascii="Calibri" w:hAnsi="Calibri"/>
                <w:color w:val="000000"/>
                <w:sz w:val="22"/>
              </w:rPr>
              <w:t xml:space="preserve">01-CDBG Housing Improvement Program</w:t>
            </w:r>
          </w:p>
        </w:tc>
      </w:tr>
      <w:tr>
        <w:trPr>
          <w:cantSplit w:val="true"/>
        </w:trPr>
        <w:tc>
          <w:tcPr>
            <w:vMerge/>
          </w:tcPr>
          <w:p/>
        </w:tc>
        <w:tc>
          <w:p>
            <w:pPr>
              <w:keepNext w:val="true"/>
              <w:spacing w:before="100" w:after="0"/>
              <w:rPr>
                <w:b/>
              </w:rPr>
            </w:pPr>
            <w:r>
              <w:rPr>
                <w:b/>
              </w:rPr>
              <w:t>Target Area</w:t>
            </w:r>
          </w:p>
        </w:tc>
        <w:tc>
          <w:p>
            <w:pPr>
              <w:spacing w:before="100" w:after="0"/>
            </w:pPr>
            <w:r>
              <w:rPr>
                <w:rFonts w:ascii="Calibri" w:hAnsi="Calibri"/>
                <w:color w:val="000000"/>
                <w:sz w:val="22"/>
              </w:rPr>
              <w:t xml:space="preserve">Salt Lake County</w:t>
            </w:r>
          </w:p>
        </w:tc>
      </w:tr>
      <w:tr>
        <w:trPr>
          <w:cantSplit w:val="true"/>
        </w:trPr>
        <w:tc>
          <w:tcPr>
            <w:vMerge/>
          </w:tcPr>
          <w:p/>
        </w:tc>
        <w:tc>
          <w:p>
            <w:pPr>
              <w:keepNext w:val="true"/>
              <w:spacing w:before="100" w:after="0"/>
              <w:rPr>
                <w:b/>
              </w:rPr>
            </w:pPr>
            <w:r>
              <w:rPr>
                <w:b/>
              </w:rPr>
              <w:t>Goals Supported</w:t>
            </w:r>
          </w:p>
        </w:tc>
        <w:tc>
          <w:p>
            <w:pPr>
              <w:spacing w:before="100" w:after="0"/>
            </w:pPr>
            <w:r>
              <w:rPr>
                <w:rFonts w:ascii="Calibri" w:hAnsi="Calibri"/>
                <w:color w:val="000000"/>
                <w:sz w:val="22"/>
              </w:rPr>
              <w:t xml:space="preserve">Housing Rehabilitation &amp; Accessibility</w:t>
            </w:r>
          </w:p>
        </w:tc>
      </w:tr>
      <w:tr>
        <w:trPr>
          <w:cantSplit w:val="true"/>
        </w:trPr>
        <w:tc>
          <w:tcPr>
            <w:vMerge/>
          </w:tcPr>
          <w:p/>
        </w:tc>
        <w:tc>
          <w:p>
            <w:pPr>
              <w:keepNext w:val="true"/>
              <w:spacing w:before="100" w:after="0"/>
              <w:rPr>
                <w:b/>
              </w:rPr>
            </w:pPr>
            <w:r>
              <w:rPr>
                <w:b/>
              </w:rPr>
              <w:t>Needs Addressed</w:t>
            </w:r>
          </w:p>
        </w:tc>
        <w:tc>
          <w:p>
            <w:pPr>
              <w:spacing w:before="100" w:after="0"/>
            </w:pPr>
            <w:r>
              <w:rPr>
                <w:rFonts w:ascii="Calibri" w:hAnsi="Calibri"/>
                <w:color w:val="000000"/>
                <w:sz w:val="22"/>
              </w:rPr>
              <w:t xml:space="preserve">Housing Rehabilitation</w:t>
            </w:r>
          </w:p>
        </w:tc>
      </w:tr>
      <w:tr>
        <w:trPr>
          <w:cantSplit w:val="true"/>
        </w:trPr>
        <w:tc>
          <w:tcPr>
            <w:vMerge/>
          </w:tcPr>
          <w:p/>
        </w:tc>
        <w:tc>
          <w:p>
            <w:pPr>
              <w:keepNext w:val="true"/>
              <w:spacing w:before="100" w:after="0"/>
              <w:rPr>
                <w:b/>
              </w:rPr>
            </w:pPr>
            <w:r>
              <w:rPr>
                <w:b/>
              </w:rPr>
              <w:t>Funding</w:t>
            </w:r>
          </w:p>
        </w:tc>
        <w:tc>
          <w:p>
            <w:pPr>
              <w:spacing w:before="100" w:after="0"/>
            </w:pPr>
            <w:r>
              <w:rPr>
                <w:rFonts w:ascii="Calibri" w:hAnsi="Calibri"/>
                <w:color w:val="000000"/>
                <w:sz w:val="22"/>
              </w:rPr>
              <w:t xml:space="preserve">CDBG: $495,000</w:t>
            </w:r>
          </w:p>
        </w:tc>
      </w:tr>
      <w:tr>
        <w:trPr>
          <w:cantSplit w:val="true"/>
        </w:trPr>
        <w:tc>
          <w:tcPr>
            <w:vMerge/>
          </w:tcPr>
          <w:p/>
        </w:tc>
        <w:tc>
          <w:p>
            <w:pPr>
              <w:keepNext w:val="true"/>
              <w:spacing w:before="100" w:after="0"/>
              <w:rPr>
                <w:b/>
              </w:rPr>
            </w:pPr>
            <w:r>
              <w:rPr>
                <w:b/>
              </w:rPr>
              <w:t>Description</w:t>
            </w:r>
          </w:p>
        </w:tc>
        <w:tc>
          <w:p>
            <w:pPr>
              <w:spacing w:before="100" w:after="0"/>
            </w:pPr>
            <w:r>
              <w:rPr>
                <w:rFonts w:ascii="Calibri" w:hAnsi="Calibri"/>
                <w:color w:val="000000"/>
                <w:sz w:val="22"/>
              </w:rPr>
              <w:t xml:space="preserve">Housing Rehabilitation, Emergency Home Repair Program and Accessibility Improvements to single family homes.  CDBG activities will include: Assist, Inc. Emergency Home Repair Program and Accessibility and Project Delivery.</w:t>
            </w:r>
          </w:p>
        </w:tc>
      </w:tr>
      <w:tr>
        <w:trPr>
          <w:cantSplit w:val="true"/>
        </w:trPr>
        <w:tc>
          <w:tcPr>
            <w:vMerge/>
          </w:tcPr>
          <w:p/>
        </w:tc>
        <w:tc>
          <w:p>
            <w:pPr>
              <w:keepNext w:val="true"/>
              <w:spacing w:before="100" w:after="0"/>
              <w:rPr>
                <w:b/>
              </w:rPr>
            </w:pPr>
            <w:r>
              <w:rPr>
                <w:b/>
              </w:rPr>
              <w:t>Target Date</w:t>
            </w:r>
          </w:p>
        </w:tc>
        <w:tc>
          <w:p>
            <w:pPr>
              <w:spacing w:before="100" w:after="0"/>
            </w:pPr>
            <w:r>
              <w:rPr>
                <w:rFonts w:ascii="Calibri" w:hAnsi="Calibri"/>
                <w:color w:val="000000"/>
                <w:sz w:val="22"/>
              </w:rPr>
              <w:t xml:space="preserve">6/30/2021</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p>
            <w:pPr>
              <w:spacing w:before="100" w:after="0"/>
            </w:pPr>
            <w:r>
              <w:rPr>
                <w:rFonts w:ascii="Calibri" w:hAnsi="Calibri"/>
                <w:color w:val="000000"/>
                <w:sz w:val="22"/>
              </w:rPr>
              <w:t xml:space="preserve">150 low income households (below 80% AMI), elderly and persons with disabilities</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Location Description</w:t>
            </w:r>
          </w:p>
        </w:tc>
        <w:tc>
          <w:p>
            <w:pPr>
              <w:spacing w:before="100" w:after="0"/>
            </w:pPr>
            <w:r>
              <w:rPr>
                <w:rFonts w:ascii="Calibri" w:hAnsi="Calibri"/>
                <w:color w:val="000000"/>
                <w:sz w:val="22"/>
              </w:rPr>
              <w:t xml:space="preserve">Salt Lake Urban County</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Planned Activities</w:t>
            </w:r>
          </w:p>
        </w:tc>
        <w:tc>
          <w:p>
            <w:pPr>
              <w:spacing w:before="100" w:after="0"/>
            </w:pPr>
            <w:r>
              <w:rPr>
                <w:rFonts w:ascii="Calibri" w:hAnsi="Calibri"/>
                <w:color w:val="000000"/>
                <w:sz w:val="22"/>
              </w:rPr>
              <w:t xml:space="preserve">- Emergency Home Repairs: 200 repairs for 150 unique households</w:t>
            </w:r>
            <w:r>
              <w:rPr>
                <w:rFonts w:ascii="Calibri" w:hAnsi="Calibri"/>
                <w:color w:val="000000"/>
                <w:sz w:val="22"/>
              </w:rPr>
              <w:br/>
              <w:t xml:space="preserve"/>
            </w:r>
            <w:r>
              <w:rPr>
                <w:rFonts w:ascii="Calibri" w:hAnsi="Calibri"/>
                <w:color w:val="000000"/>
                <w:sz w:val="22"/>
              </w:rPr>
              <w:t xml:space="preserve">- Accessible Design Assistance: 80 design proposals and modifications</w:t>
            </w:r>
            <w:r>
              <w:rPr>
                <w:rFonts w:ascii="Calibri" w:hAnsi="Calibri"/>
                <w:color w:val="000000"/>
                <w:sz w:val="22"/>
              </w:rPr>
              <w:br/>
              <w:t xml:space="preserve"/>
            </w:r>
            <w:r>
              <w:rPr>
                <w:rFonts w:ascii="Calibri" w:hAnsi="Calibri"/>
                <w:color w:val="000000"/>
                <w:sz w:val="22"/>
              </w:rPr>
              <w:t xml:space="preserve">- Community Design Assistance: Architectural or Planning Services for 4 community projects</w:t>
            </w:r>
          </w:p>
        </w:tc>
      </w:tr>
      <w:tr>
        <w:trPr>
          <w:cantSplit w:val="true"/>
        </w:trPr>
        <w:tc>
          <w:tcPr>
            <w:vMerge w:val="restart"/>
          </w:tcPr>
          <w:p>
            <w:r>
              <w:rPr>
                <w:b w:val="true"/>
              </w:rPr>
              <w:t>8</w:t>
            </w:r>
          </w:p>
        </w:tc>
        <w:tc>
          <w:p>
            <w:pPr>
              <w:keepNext w:val="true"/>
              <w:spacing w:before="100" w:after="0"/>
              <w:rPr>
                <w:b/>
              </w:rPr>
            </w:pPr>
            <w:r>
              <w:rPr>
                <w:b/>
              </w:rPr>
              <w:t>Project Name</w:t>
            </w:r>
          </w:p>
        </w:tc>
        <w:tc>
          <w:p>
            <w:pPr>
              <w:spacing w:before="100" w:after="0"/>
            </w:pPr>
            <w:r>
              <w:rPr>
                <w:rFonts w:ascii="Calibri" w:hAnsi="Calibri"/>
                <w:color w:val="000000"/>
                <w:sz w:val="22"/>
              </w:rPr>
              <w:t xml:space="preserve">Action Plan Administration (CDBG)</w:t>
            </w:r>
          </w:p>
        </w:tc>
      </w:tr>
      <w:tr>
        <w:trPr>
          <w:cantSplit w:val="true"/>
        </w:trPr>
        <w:tc>
          <w:tcPr>
            <w:vMerge/>
          </w:tcPr>
          <w:p/>
        </w:tc>
        <w:tc>
          <w:p>
            <w:pPr>
              <w:keepNext w:val="true"/>
              <w:spacing w:before="100" w:after="0"/>
              <w:rPr>
                <w:b/>
              </w:rPr>
            </w:pPr>
            <w:r>
              <w:rPr>
                <w:b/>
              </w:rPr>
              <w:t>Target Area</w:t>
            </w:r>
          </w:p>
        </w:tc>
        <w:tc>
          <w:p>
            <w:pPr>
              <w:spacing w:before="100" w:after="0"/>
            </w:pPr>
            <w:r>
              <w:rPr>
                <w:rFonts w:ascii="Calibri" w:hAnsi="Calibri"/>
                <w:color w:val="000000"/>
                <w:sz w:val="22"/>
              </w:rPr>
              <w:t xml:space="preserve">Salt Lake County</w:t>
            </w:r>
          </w:p>
        </w:tc>
      </w:tr>
      <w:tr>
        <w:trPr>
          <w:cantSplit w:val="true"/>
        </w:trPr>
        <w:tc>
          <w:tcPr>
            <w:vMerge/>
          </w:tcPr>
          <w:p/>
        </w:tc>
        <w:tc>
          <w:p>
            <w:pPr>
              <w:keepNext w:val="true"/>
              <w:spacing w:before="100" w:after="0"/>
              <w:rPr>
                <w:b/>
              </w:rPr>
            </w:pPr>
            <w:r>
              <w:rPr>
                <w:b/>
              </w:rPr>
              <w:t>Goals Supported</w:t>
            </w:r>
          </w:p>
        </w:tc>
        <w:tc>
          <w:p>
            <w:pPr>
              <w:spacing w:before="100" w:after="0"/>
            </w:pPr>
            <w:r>
              <w:rPr>
                <w:rFonts w:ascii="Calibri" w:hAnsi="Calibri"/>
                <w:color w:val="000000"/>
                <w:sz w:val="22"/>
              </w:rPr>
              <w:t xml:space="preserve">Housing Rehabilitation &amp; Accessibility</w:t>
            </w:r>
            <w:r>
              <w:rPr>
                <w:rFonts w:ascii="Calibri" w:hAnsi="Calibri"/>
                <w:color w:val="000000"/>
                <w:sz w:val="22"/>
              </w:rPr>
              <w:br/>
              <w:t xml:space="preserve"/>
            </w:r>
            <w:r>
              <w:rPr>
                <w:rFonts w:ascii="Calibri" w:hAnsi="Calibri"/>
                <w:color w:val="000000"/>
                <w:sz w:val="22"/>
              </w:rPr>
              <w:t xml:space="preserve">Rental Housing</w:t>
            </w:r>
            <w:r>
              <w:rPr>
                <w:rFonts w:ascii="Calibri" w:hAnsi="Calibri"/>
                <w:color w:val="000000"/>
                <w:sz w:val="22"/>
              </w:rPr>
              <w:br/>
              <w:t xml:space="preserve"/>
            </w:r>
            <w:r>
              <w:rPr>
                <w:rFonts w:ascii="Calibri" w:hAnsi="Calibri"/>
                <w:color w:val="000000"/>
                <w:sz w:val="22"/>
              </w:rPr>
              <w:t xml:space="preserve">Rental Assistance</w:t>
            </w:r>
            <w:r>
              <w:rPr>
                <w:rFonts w:ascii="Calibri" w:hAnsi="Calibri"/>
                <w:color w:val="000000"/>
                <w:sz w:val="22"/>
              </w:rPr>
              <w:br/>
              <w:t xml:space="preserve"/>
            </w:r>
            <w:r>
              <w:rPr>
                <w:rFonts w:ascii="Calibri" w:hAnsi="Calibri"/>
                <w:color w:val="000000"/>
                <w:sz w:val="22"/>
              </w:rPr>
              <w:t xml:space="preserve">Homeownership</w:t>
            </w:r>
            <w:r>
              <w:rPr>
                <w:rFonts w:ascii="Calibri" w:hAnsi="Calibri"/>
                <w:color w:val="000000"/>
                <w:sz w:val="22"/>
              </w:rPr>
              <w:br/>
              <w:t xml:space="preserve"/>
            </w:r>
            <w:r>
              <w:rPr>
                <w:rFonts w:ascii="Calibri" w:hAnsi="Calibri"/>
                <w:color w:val="000000"/>
                <w:sz w:val="22"/>
              </w:rPr>
              <w:t xml:space="preserve">Infrastructure</w:t>
            </w:r>
            <w:r>
              <w:rPr>
                <w:rFonts w:ascii="Calibri" w:hAnsi="Calibri"/>
                <w:color w:val="000000"/>
                <w:sz w:val="22"/>
              </w:rPr>
              <w:br/>
              <w:t xml:space="preserve"/>
            </w:r>
            <w:r>
              <w:rPr>
                <w:rFonts w:ascii="Calibri" w:hAnsi="Calibri"/>
                <w:color w:val="000000"/>
                <w:sz w:val="22"/>
              </w:rPr>
              <w:t xml:space="preserve">Public facilities</w:t>
            </w:r>
            <w:r>
              <w:rPr>
                <w:rFonts w:ascii="Calibri" w:hAnsi="Calibri"/>
                <w:color w:val="000000"/>
                <w:sz w:val="22"/>
              </w:rPr>
              <w:br/>
              <w:t xml:space="preserve"/>
            </w:r>
            <w:r>
              <w:rPr>
                <w:rFonts w:ascii="Calibri" w:hAnsi="Calibri"/>
                <w:color w:val="000000"/>
                <w:sz w:val="22"/>
              </w:rPr>
              <w:t xml:space="preserve">Access to crisis assistance</w:t>
            </w:r>
            <w:r>
              <w:rPr>
                <w:rFonts w:ascii="Calibri" w:hAnsi="Calibri"/>
                <w:color w:val="000000"/>
                <w:sz w:val="22"/>
              </w:rPr>
              <w:br/>
              <w:t xml:space="preserve"/>
            </w:r>
            <w:r>
              <w:rPr>
                <w:rFonts w:ascii="Calibri" w:hAnsi="Calibri"/>
                <w:color w:val="000000"/>
                <w:sz w:val="22"/>
              </w:rPr>
              <w:t xml:space="preserve">Stability and safety</w:t>
            </w:r>
            <w:r>
              <w:rPr>
                <w:rFonts w:ascii="Calibri" w:hAnsi="Calibri"/>
                <w:color w:val="000000"/>
                <w:sz w:val="22"/>
              </w:rPr>
              <w:br/>
              <w:t xml:space="preserve"/>
            </w:r>
            <w:r>
              <w:rPr>
                <w:rFonts w:ascii="Calibri" w:hAnsi="Calibri"/>
                <w:color w:val="000000"/>
                <w:sz w:val="22"/>
              </w:rPr>
              <w:t xml:space="preserve">Economic stability</w:t>
            </w:r>
            <w:r>
              <w:rPr>
                <w:rFonts w:ascii="Calibri" w:hAnsi="Calibri"/>
                <w:color w:val="000000"/>
                <w:sz w:val="22"/>
              </w:rPr>
              <w:br/>
              <w:t xml:space="preserve"/>
            </w:r>
            <w:r>
              <w:rPr>
                <w:rFonts w:ascii="Calibri" w:hAnsi="Calibri"/>
                <w:color w:val="000000"/>
                <w:sz w:val="22"/>
              </w:rPr>
              <w:t xml:space="preserve">Administration of HOME, ESG and CDBG</w:t>
            </w:r>
          </w:p>
        </w:tc>
      </w:tr>
      <w:tr>
        <w:trPr>
          <w:cantSplit w:val="true"/>
        </w:trPr>
        <w:tc>
          <w:tcPr>
            <w:vMerge/>
          </w:tcPr>
          <w:p/>
        </w:tc>
        <w:tc>
          <w:p>
            <w:pPr>
              <w:keepNext w:val="true"/>
              <w:spacing w:before="100" w:after="0"/>
              <w:rPr>
                <w:b/>
              </w:rPr>
            </w:pPr>
            <w:r>
              <w:rPr>
                <w:b/>
              </w:rPr>
              <w:t>Needs Addressed</w:t>
            </w:r>
          </w:p>
        </w:tc>
        <w:tc>
          <w:p>
            <w:pPr>
              <w:spacing w:before="100" w:after="0"/>
            </w:pPr>
            <w:r>
              <w:rPr>
                <w:rFonts w:ascii="Calibri" w:hAnsi="Calibri"/>
                <w:color w:val="000000"/>
                <w:sz w:val="22"/>
              </w:rPr>
              <w:t xml:space="preserve">Housing Rehabilitation</w:t>
            </w:r>
            <w:r>
              <w:rPr>
                <w:rFonts w:ascii="Calibri" w:hAnsi="Calibri"/>
                <w:color w:val="000000"/>
                <w:sz w:val="22"/>
              </w:rPr>
              <w:br/>
              <w:t xml:space="preserve"/>
            </w:r>
            <w:r>
              <w:rPr>
                <w:rFonts w:ascii="Calibri" w:hAnsi="Calibri"/>
                <w:color w:val="000000"/>
                <w:sz w:val="22"/>
              </w:rPr>
              <w:t xml:space="preserve">Rental Housing</w:t>
            </w:r>
            <w:r>
              <w:rPr>
                <w:rFonts w:ascii="Calibri" w:hAnsi="Calibri"/>
                <w:color w:val="000000"/>
                <w:sz w:val="22"/>
              </w:rPr>
              <w:br/>
              <w:t xml:space="preserve"/>
            </w:r>
            <w:r>
              <w:rPr>
                <w:rFonts w:ascii="Calibri" w:hAnsi="Calibri"/>
                <w:color w:val="000000"/>
                <w:sz w:val="22"/>
              </w:rPr>
              <w:t xml:space="preserve">Rental assistance</w:t>
            </w:r>
            <w:r>
              <w:rPr>
                <w:rFonts w:ascii="Calibri" w:hAnsi="Calibri"/>
                <w:color w:val="000000"/>
                <w:sz w:val="22"/>
              </w:rPr>
              <w:br/>
              <w:t xml:space="preserve"/>
            </w:r>
            <w:r>
              <w:rPr>
                <w:rFonts w:ascii="Calibri" w:hAnsi="Calibri"/>
                <w:color w:val="000000"/>
                <w:sz w:val="22"/>
              </w:rPr>
              <w:t xml:space="preserve">Homeownership</w:t>
            </w:r>
            <w:r>
              <w:rPr>
                <w:rFonts w:ascii="Calibri" w:hAnsi="Calibri"/>
                <w:color w:val="000000"/>
                <w:sz w:val="22"/>
              </w:rPr>
              <w:br/>
              <w:t xml:space="preserve"/>
            </w:r>
            <w:r>
              <w:rPr>
                <w:rFonts w:ascii="Calibri" w:hAnsi="Calibri"/>
                <w:color w:val="000000"/>
                <w:sz w:val="22"/>
              </w:rPr>
              <w:t xml:space="preserve">Infrastructure</w:t>
            </w:r>
            <w:r>
              <w:rPr>
                <w:rFonts w:ascii="Calibri" w:hAnsi="Calibri"/>
                <w:color w:val="000000"/>
                <w:sz w:val="22"/>
              </w:rPr>
              <w:br/>
              <w:t xml:space="preserve"/>
            </w:r>
            <w:r>
              <w:rPr>
                <w:rFonts w:ascii="Calibri" w:hAnsi="Calibri"/>
                <w:color w:val="000000"/>
                <w:sz w:val="22"/>
              </w:rPr>
              <w:t xml:space="preserve">Public Facilities</w:t>
            </w:r>
            <w:r>
              <w:rPr>
                <w:rFonts w:ascii="Calibri" w:hAnsi="Calibri"/>
                <w:color w:val="000000"/>
                <w:sz w:val="22"/>
              </w:rPr>
              <w:br/>
              <w:t xml:space="preserve"/>
            </w:r>
            <w:r>
              <w:rPr>
                <w:rFonts w:ascii="Calibri" w:hAnsi="Calibri"/>
                <w:color w:val="000000"/>
                <w:sz w:val="22"/>
              </w:rPr>
              <w:t xml:space="preserve">Access to crisis assistance</w:t>
            </w:r>
            <w:r>
              <w:rPr>
                <w:rFonts w:ascii="Calibri" w:hAnsi="Calibri"/>
                <w:color w:val="000000"/>
                <w:sz w:val="22"/>
              </w:rPr>
              <w:br/>
              <w:t xml:space="preserve"/>
            </w:r>
            <w:r>
              <w:rPr>
                <w:rFonts w:ascii="Calibri" w:hAnsi="Calibri"/>
                <w:color w:val="000000"/>
                <w:sz w:val="22"/>
              </w:rPr>
              <w:t xml:space="preserve">Stability and Safety</w:t>
            </w:r>
            <w:r>
              <w:rPr>
                <w:rFonts w:ascii="Calibri" w:hAnsi="Calibri"/>
                <w:color w:val="000000"/>
                <w:sz w:val="22"/>
              </w:rPr>
              <w:br/>
              <w:t xml:space="preserve"/>
            </w:r>
            <w:r>
              <w:rPr>
                <w:rFonts w:ascii="Calibri" w:hAnsi="Calibri"/>
                <w:color w:val="000000"/>
                <w:sz w:val="22"/>
              </w:rPr>
              <w:t xml:space="preserve">Economic  Stability</w:t>
            </w:r>
          </w:p>
        </w:tc>
      </w:tr>
      <w:tr>
        <w:trPr>
          <w:cantSplit w:val="true"/>
        </w:trPr>
        <w:tc>
          <w:tcPr>
            <w:vMerge/>
          </w:tcPr>
          <w:p/>
        </w:tc>
        <w:tc>
          <w:p>
            <w:pPr>
              <w:keepNext w:val="true"/>
              <w:spacing w:before="100" w:after="0"/>
              <w:rPr>
                <w:b/>
              </w:rPr>
            </w:pPr>
            <w:r>
              <w:rPr>
                <w:b/>
              </w:rPr>
              <w:t>Funding</w:t>
            </w:r>
          </w:p>
        </w:tc>
        <w:tc>
          <w:p>
            <w:pPr>
              <w:spacing w:before="100" w:after="0"/>
            </w:pPr>
            <w:r>
              <w:rPr>
                <w:rFonts w:ascii="Calibri" w:hAnsi="Calibri"/>
                <w:color w:val="000000"/>
                <w:sz w:val="22"/>
              </w:rPr>
              <w:t xml:space="preserve">CDBG: $505,714</w:t>
            </w:r>
          </w:p>
        </w:tc>
      </w:tr>
      <w:tr>
        <w:trPr>
          <w:cantSplit w:val="true"/>
        </w:trPr>
        <w:tc>
          <w:tcPr>
            <w:vMerge/>
          </w:tcPr>
          <w:p/>
        </w:tc>
        <w:tc>
          <w:p>
            <w:pPr>
              <w:keepNext w:val="true"/>
              <w:spacing w:before="100" w:after="0"/>
              <w:rPr>
                <w:b/>
              </w:rPr>
            </w:pPr>
            <w:r>
              <w:rPr>
                <w:b/>
              </w:rPr>
              <w:t>Description</w:t>
            </w:r>
          </w:p>
        </w:tc>
        <w:tc>
          <w:p>
            <w:pPr>
              <w:spacing w:before="100" w:after="0"/>
            </w:pPr>
            <w:r>
              <w:rPr>
                <w:rFonts w:ascii="Calibri" w:hAnsi="Calibri"/>
                <w:color w:val="000000"/>
                <w:sz w:val="22"/>
              </w:rPr>
              <w:t xml:space="preserve">Funds will be used to administer the CDBG Programs.</w:t>
            </w:r>
          </w:p>
        </w:tc>
      </w:tr>
      <w:tr>
        <w:trPr>
          <w:cantSplit w:val="true"/>
        </w:trPr>
        <w:tc>
          <w:tcPr>
            <w:vMerge/>
          </w:tcPr>
          <w:p/>
        </w:tc>
        <w:tc>
          <w:p>
            <w:pPr>
              <w:keepNext w:val="true"/>
              <w:spacing w:before="100" w:after="0"/>
              <w:rPr>
                <w:b/>
              </w:rPr>
            </w:pPr>
            <w:r>
              <w:rPr>
                <w:b/>
              </w:rPr>
              <w:t>Target Date</w:t>
            </w:r>
          </w:p>
        </w:tc>
        <w:tc>
          <w:p>
            <w:pPr>
              <w:spacing w:before="100" w:after="0"/>
            </w:pPr>
            <w:r>
              <w:rPr>
                <w:rFonts w:ascii="Calibri" w:hAnsi="Calibri"/>
                <w:color w:val="000000"/>
                <w:sz w:val="22"/>
              </w:rPr>
              <w:t xml:space="preserve">6/30/2021</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p>
            <w:pPr>
              <w:spacing w:before="100" w:after="0"/>
            </w:pPr>
            <w:r>
              <w:rPr>
                <w:rFonts w:ascii="Calibri" w:hAnsi="Calibri"/>
                <w:color w:val="000000"/>
                <w:sz w:val="22"/>
              </w:rPr>
              <w:t xml:space="preserve">Administrative funds to support all activities in the FY20 Action Plan for the CDBG program</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Location Description</w:t>
            </w:r>
          </w:p>
        </w:tc>
        <w:tc>
          <w:p>
            <w:pPr>
              <w:spacing w:before="100" w:after="0"/>
            </w:pPr>
            <w:r>
              <w:rPr>
                <w:rFonts w:ascii="Calibri" w:hAnsi="Calibri"/>
                <w:color w:val="000000"/>
                <w:sz w:val="22"/>
              </w:rPr>
              <w:t xml:space="preserve">Salt Lake Urban County</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Planned Activities</w:t>
            </w:r>
          </w:p>
        </w:tc>
        <w:tc>
          <w:p>
            <w:pPr>
              <w:spacing w:before="100" w:after="0"/>
            </w:pPr>
            <w:r>
              <w:rPr>
                <w:rFonts w:ascii="Calibri" w:hAnsi="Calibri"/>
                <w:color w:val="000000"/>
                <w:sz w:val="22"/>
              </w:rPr>
              <w:t xml:space="preserve">Administrative program management costs for FY20 CDBG</w:t>
            </w:r>
          </w:p>
        </w:tc>
      </w:tr>
      <w:tr>
        <w:trPr>
          <w:cantSplit w:val="true"/>
        </w:trPr>
        <w:tc>
          <w:tcPr>
            <w:vMerge w:val="restart"/>
          </w:tcPr>
          <w:p>
            <w:r>
              <w:rPr>
                <w:b w:val="true"/>
              </w:rPr>
              <w:t>9</w:t>
            </w:r>
          </w:p>
        </w:tc>
        <w:tc>
          <w:p>
            <w:pPr>
              <w:keepNext w:val="true"/>
              <w:spacing w:before="100" w:after="0"/>
              <w:rPr>
                <w:b/>
              </w:rPr>
            </w:pPr>
            <w:r>
              <w:rPr>
                <w:b/>
              </w:rPr>
              <w:t>Project Name</w:t>
            </w:r>
          </w:p>
        </w:tc>
        <w:tc>
          <w:p>
            <w:pPr>
              <w:spacing w:before="100" w:after="0"/>
            </w:pPr>
            <w:r>
              <w:rPr>
                <w:rFonts w:ascii="Calibri" w:hAnsi="Calibri"/>
                <w:color w:val="000000"/>
                <w:sz w:val="22"/>
              </w:rPr>
              <w:t xml:space="preserve">02 &amp; 05-CDBG Public Infrastructure and Public Works</w:t>
            </w:r>
          </w:p>
        </w:tc>
      </w:tr>
      <w:tr>
        <w:trPr>
          <w:cantSplit w:val="true"/>
        </w:trPr>
        <w:tc>
          <w:tcPr>
            <w:vMerge/>
          </w:tcPr>
          <w:p/>
        </w:tc>
        <w:tc>
          <w:p>
            <w:pPr>
              <w:keepNext w:val="true"/>
              <w:spacing w:before="100" w:after="0"/>
              <w:rPr>
                <w:b/>
              </w:rPr>
            </w:pPr>
            <w:r>
              <w:rPr>
                <w:b/>
              </w:rPr>
              <w:t>Target Area</w:t>
            </w:r>
          </w:p>
        </w:tc>
        <w:tc>
          <w:p>
            <w:pPr>
              <w:spacing w:before="100" w:after="0"/>
            </w:pPr>
            <w:r>
              <w:rPr>
                <w:rFonts w:ascii="Calibri" w:hAnsi="Calibri"/>
                <w:color w:val="000000"/>
                <w:sz w:val="22"/>
              </w:rPr>
              <w:t xml:space="preserve">Salt Lake County</w:t>
            </w:r>
          </w:p>
        </w:tc>
      </w:tr>
      <w:tr>
        <w:trPr>
          <w:cantSplit w:val="true"/>
        </w:trPr>
        <w:tc>
          <w:tcPr>
            <w:vMerge/>
          </w:tcPr>
          <w:p/>
        </w:tc>
        <w:tc>
          <w:p>
            <w:pPr>
              <w:keepNext w:val="true"/>
              <w:spacing w:before="100" w:after="0"/>
              <w:rPr>
                <w:b/>
              </w:rPr>
            </w:pPr>
            <w:r>
              <w:rPr>
                <w:b/>
              </w:rPr>
              <w:t>Goals Supported</w:t>
            </w:r>
          </w:p>
        </w:tc>
        <w:tc>
          <w:p>
            <w:pPr>
              <w:spacing w:before="100" w:after="0"/>
            </w:pPr>
            <w:r>
              <w:rPr>
                <w:rFonts w:ascii="Calibri" w:hAnsi="Calibri"/>
                <w:color w:val="000000"/>
                <w:sz w:val="22"/>
              </w:rPr>
              <w:t xml:space="preserve">Infrastructure</w:t>
            </w:r>
          </w:p>
        </w:tc>
      </w:tr>
      <w:tr>
        <w:trPr>
          <w:cantSplit w:val="true"/>
        </w:trPr>
        <w:tc>
          <w:tcPr>
            <w:vMerge/>
          </w:tcPr>
          <w:p/>
        </w:tc>
        <w:tc>
          <w:p>
            <w:pPr>
              <w:keepNext w:val="true"/>
              <w:spacing w:before="100" w:after="0"/>
              <w:rPr>
                <w:b/>
              </w:rPr>
            </w:pPr>
            <w:r>
              <w:rPr>
                <w:b/>
              </w:rPr>
              <w:t>Needs Addressed</w:t>
            </w:r>
          </w:p>
        </w:tc>
        <w:tc>
          <w:p>
            <w:pPr>
              <w:spacing w:before="100" w:after="0"/>
            </w:pPr>
            <w:r>
              <w:rPr>
                <w:rFonts w:ascii="Calibri" w:hAnsi="Calibri"/>
                <w:color w:val="000000"/>
                <w:sz w:val="22"/>
              </w:rPr>
              <w:t xml:space="preserve">Infrastructure</w:t>
            </w:r>
          </w:p>
        </w:tc>
      </w:tr>
      <w:tr>
        <w:trPr>
          <w:cantSplit w:val="true"/>
        </w:trPr>
        <w:tc>
          <w:tcPr>
            <w:vMerge/>
          </w:tcPr>
          <w:p/>
        </w:tc>
        <w:tc>
          <w:p>
            <w:pPr>
              <w:keepNext w:val="true"/>
              <w:spacing w:before="100" w:after="0"/>
              <w:rPr>
                <w:b/>
              </w:rPr>
            </w:pPr>
            <w:r>
              <w:rPr>
                <w:b/>
              </w:rPr>
              <w:t>Funding</w:t>
            </w:r>
          </w:p>
        </w:tc>
        <w:tc>
          <w:p>
            <w:pPr>
              <w:spacing w:before="100" w:after="0"/>
            </w:pPr>
            <w:r>
              <w:rPr>
                <w:rFonts w:ascii="Calibri" w:hAnsi="Calibri"/>
                <w:color w:val="000000"/>
                <w:sz w:val="22"/>
              </w:rPr>
              <w:t xml:space="preserve">CDBG: $755,000</w:t>
            </w:r>
          </w:p>
        </w:tc>
      </w:tr>
      <w:tr>
        <w:trPr>
          <w:cantSplit w:val="true"/>
        </w:trPr>
        <w:tc>
          <w:tcPr>
            <w:vMerge/>
          </w:tcPr>
          <w:p/>
        </w:tc>
        <w:tc>
          <w:p>
            <w:pPr>
              <w:keepNext w:val="true"/>
              <w:spacing w:before="100" w:after="0"/>
              <w:rPr>
                <w:b/>
              </w:rPr>
            </w:pPr>
            <w:r>
              <w:rPr>
                <w:b/>
              </w:rPr>
              <w:t>Description</w:t>
            </w:r>
          </w:p>
        </w:tc>
        <w:tc>
          <w:p>
            <w:pPr>
              <w:spacing w:before="100" w:after="0"/>
            </w:pPr>
            <w:r>
              <w:rPr>
                <w:rFonts w:ascii="Calibri" w:hAnsi="Calibri"/>
                <w:color w:val="000000"/>
                <w:sz w:val="22"/>
              </w:rPr>
              <w:t xml:space="preserve">Infrastructure Improvements including streets, sidewalks, parks, etc.</w:t>
            </w:r>
          </w:p>
        </w:tc>
      </w:tr>
      <w:tr>
        <w:trPr>
          <w:cantSplit w:val="true"/>
        </w:trPr>
        <w:tc>
          <w:tcPr>
            <w:vMerge/>
          </w:tcPr>
          <w:p/>
        </w:tc>
        <w:tc>
          <w:p>
            <w:pPr>
              <w:keepNext w:val="true"/>
              <w:spacing w:before="100" w:after="0"/>
              <w:rPr>
                <w:b/>
              </w:rPr>
            </w:pPr>
            <w:r>
              <w:rPr>
                <w:b/>
              </w:rPr>
              <w:t>Target Date</w:t>
            </w:r>
          </w:p>
        </w:tc>
        <w:tc>
          <w:p>
            <w:pPr>
              <w:spacing w:before="100" w:after="0"/>
            </w:pPr>
            <w:r>
              <w:rPr>
                <w:rFonts w:ascii="Calibri" w:hAnsi="Calibri"/>
                <w:color w:val="000000"/>
                <w:sz w:val="22"/>
              </w:rPr>
              <w:t xml:space="preserve">6/30/2021</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p>
            <w:pPr>
              <w:spacing w:before="100" w:after="0"/>
            </w:pPr>
            <w:r>
              <w:rPr>
                <w:rFonts w:ascii="Calibri" w:hAnsi="Calibri"/>
                <w:color w:val="000000"/>
                <w:sz w:val="22"/>
              </w:rPr>
              <w:t xml:space="preserve">It is estimated that 10,379 individuals in Low-Mod Areas will benefit from the infrastructure improvements in South Salt Lake, Magna, Midvale City &amp; Millcreek City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Location Description</w:t>
            </w:r>
          </w:p>
        </w:tc>
        <w:tc>
          <w:p>
            <w:pPr>
              <w:spacing w:before="100" w:after="0"/>
            </w:pPr>
            <w:r>
              <w:rPr>
                <w:rFonts w:ascii="Calibri" w:hAnsi="Calibri"/>
                <w:color w:val="000000"/>
                <w:sz w:val="22"/>
              </w:rPr>
              <w:t xml:space="preserve">South Salt Lake City (Main Street from 3700 - 3900 S in zip code 84115), Magna (west side of 8950 West between 2700 South and 2800 South in zip code 84044) , Midvale City (multiple locations), Millcreek City (4013 South 700 West in zip code 84107)</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Planned Activities</w:t>
            </w:r>
          </w:p>
        </w:tc>
        <w:tc>
          <w:p>
            <w:pPr>
              <w:spacing w:before="100" w:after="0"/>
            </w:pPr>
            <w:r>
              <w:rPr>
                <w:rFonts w:ascii="Calibri" w:hAnsi="Calibri"/>
                <w:color w:val="000000"/>
                <w:sz w:val="22"/>
              </w:rPr>
              <w:t xml:space="preserve">South Salt Lake City:  Project will add street and pedestrian lighting on Main Street from 3700-3900 S in zip code 84115.</w:t>
            </w:r>
          </w:p>
          <w:p>
            <w:pPr>
              <w:spacing w:before="100" w:after="0"/>
            </w:pPr>
            <w:r>
              <w:rPr>
                <w:rFonts w:ascii="Calibri" w:hAnsi="Calibri"/>
                <w:color w:val="000000"/>
                <w:sz w:val="22"/>
              </w:rPr>
              <w:t xml:space="preserve">Magna:  Replace crumbling and deteriorated sidewalks located along the west side of 8950 West, between 2700 South and 2800 South in Magna, Utah 84044. </w:t>
            </w:r>
          </w:p>
          <w:p>
            <w:pPr>
              <w:spacing w:before="100" w:after="0"/>
            </w:pPr>
            <w:r>
              <w:rPr>
                <w:rFonts w:ascii="Calibri" w:hAnsi="Calibri"/>
                <w:color w:val="000000"/>
                <w:sz w:val="22"/>
              </w:rPr>
              <w:t xml:space="preserve">Midvale City:  Provide pedestrian ramps which are ADA compliant</w:t>
            </w:r>
          </w:p>
          <w:p>
            <w:pPr>
              <w:spacing w:before="100" w:after="0"/>
            </w:pPr>
            <w:r>
              <w:rPr>
                <w:rFonts w:ascii="Calibri" w:hAnsi="Calibri"/>
                <w:color w:val="000000"/>
                <w:sz w:val="22"/>
              </w:rPr>
              <w:t xml:space="preserve">Sunnyvale Park in Millcreek City:  Lighting and playground expansion</w:t>
            </w:r>
          </w:p>
          <w:p>
            <w:pPr>
              <w:spacing w:before="100" w:after="0"/>
            </w:pPr>
          </w:p>
        </w:tc>
      </w:tr>
      <w:tr>
        <w:trPr>
          <w:cantSplit w:val="true"/>
        </w:trPr>
        <w:tc>
          <w:tcPr>
            <w:vMerge w:val="restart"/>
          </w:tcPr>
          <w:p>
            <w:r>
              <w:rPr>
                <w:b w:val="true"/>
              </w:rPr>
              <w:t>10</w:t>
            </w:r>
          </w:p>
        </w:tc>
        <w:tc>
          <w:p>
            <w:pPr>
              <w:keepNext w:val="true"/>
              <w:spacing w:before="100" w:after="0"/>
              <w:rPr>
                <w:b/>
              </w:rPr>
            </w:pPr>
            <w:r>
              <w:rPr>
                <w:b/>
              </w:rPr>
              <w:t>Project Name</w:t>
            </w:r>
          </w:p>
        </w:tc>
        <w:tc>
          <w:p>
            <w:pPr>
              <w:spacing w:before="100" w:after="0"/>
            </w:pPr>
            <w:r>
              <w:rPr>
                <w:rFonts w:ascii="Calibri" w:hAnsi="Calibri"/>
                <w:color w:val="000000"/>
                <w:sz w:val="22"/>
              </w:rPr>
              <w:t xml:space="preserve">08-CDBG Private Non-Profit Facility Improvements</w:t>
            </w:r>
          </w:p>
        </w:tc>
      </w:tr>
      <w:tr>
        <w:trPr>
          <w:cantSplit w:val="true"/>
        </w:trPr>
        <w:tc>
          <w:tcPr>
            <w:vMerge/>
          </w:tcPr>
          <w:p/>
        </w:tc>
        <w:tc>
          <w:p>
            <w:pPr>
              <w:keepNext w:val="true"/>
              <w:spacing w:before="100" w:after="0"/>
              <w:rPr>
                <w:b/>
              </w:rPr>
            </w:pPr>
            <w:r>
              <w:rPr>
                <w:b/>
              </w:rPr>
              <w:t>Target Area</w:t>
            </w:r>
          </w:p>
        </w:tc>
        <w:tc>
          <w:p>
            <w:pPr>
              <w:spacing w:before="100" w:after="0"/>
            </w:pPr>
            <w:r>
              <w:rPr>
                <w:rFonts w:ascii="Calibri" w:hAnsi="Calibri"/>
                <w:color w:val="000000"/>
                <w:sz w:val="22"/>
              </w:rPr>
              <w:t xml:space="preserve">Salt Lake County</w:t>
            </w:r>
          </w:p>
        </w:tc>
      </w:tr>
      <w:tr>
        <w:trPr>
          <w:cantSplit w:val="true"/>
        </w:trPr>
        <w:tc>
          <w:tcPr>
            <w:vMerge/>
          </w:tcPr>
          <w:p/>
        </w:tc>
        <w:tc>
          <w:p>
            <w:pPr>
              <w:keepNext w:val="true"/>
              <w:spacing w:before="100" w:after="0"/>
              <w:rPr>
                <w:b/>
              </w:rPr>
            </w:pPr>
            <w:r>
              <w:rPr>
                <w:b/>
              </w:rPr>
              <w:t>Goals Supported</w:t>
            </w:r>
          </w:p>
        </w:tc>
        <w:tc>
          <w:p>
            <w:pPr>
              <w:spacing w:before="100" w:after="0"/>
            </w:pPr>
            <w:r>
              <w:rPr>
                <w:rFonts w:ascii="Calibri" w:hAnsi="Calibri"/>
                <w:color w:val="000000"/>
                <w:sz w:val="22"/>
              </w:rPr>
              <w:t xml:space="preserve">Public facilities</w:t>
            </w:r>
            <w:r>
              <w:rPr>
                <w:rFonts w:ascii="Calibri" w:hAnsi="Calibri"/>
                <w:color w:val="000000"/>
                <w:sz w:val="22"/>
              </w:rPr>
              <w:br/>
              <w:t xml:space="preserve"/>
            </w:r>
            <w:r>
              <w:rPr>
                <w:rFonts w:ascii="Calibri" w:hAnsi="Calibri"/>
                <w:color w:val="000000"/>
                <w:sz w:val="22"/>
              </w:rPr>
              <w:t xml:space="preserve">Stability and safety</w:t>
            </w:r>
          </w:p>
        </w:tc>
      </w:tr>
      <w:tr>
        <w:trPr>
          <w:cantSplit w:val="true"/>
        </w:trPr>
        <w:tc>
          <w:tcPr>
            <w:vMerge/>
          </w:tcPr>
          <w:p/>
        </w:tc>
        <w:tc>
          <w:p>
            <w:pPr>
              <w:keepNext w:val="true"/>
              <w:spacing w:before="100" w:after="0"/>
              <w:rPr>
                <w:b/>
              </w:rPr>
            </w:pPr>
            <w:r>
              <w:rPr>
                <w:b/>
              </w:rPr>
              <w:t>Needs Addressed</w:t>
            </w:r>
          </w:p>
        </w:tc>
        <w:tc>
          <w:p>
            <w:pPr>
              <w:spacing w:before="100" w:after="0"/>
            </w:pPr>
            <w:r>
              <w:rPr>
                <w:rFonts w:ascii="Calibri" w:hAnsi="Calibri"/>
                <w:color w:val="000000"/>
                <w:sz w:val="22"/>
              </w:rPr>
              <w:t xml:space="preserve">Public Facilities</w:t>
            </w:r>
            <w:r>
              <w:rPr>
                <w:rFonts w:ascii="Calibri" w:hAnsi="Calibri"/>
                <w:color w:val="000000"/>
                <w:sz w:val="22"/>
              </w:rPr>
              <w:br/>
              <w:t xml:space="preserve"/>
            </w:r>
            <w:r>
              <w:rPr>
                <w:rFonts w:ascii="Calibri" w:hAnsi="Calibri"/>
                <w:color w:val="000000"/>
                <w:sz w:val="22"/>
              </w:rPr>
              <w:t xml:space="preserve">Stability and Safety</w:t>
            </w:r>
          </w:p>
        </w:tc>
      </w:tr>
      <w:tr>
        <w:trPr>
          <w:cantSplit w:val="true"/>
        </w:trPr>
        <w:tc>
          <w:tcPr>
            <w:vMerge/>
          </w:tcPr>
          <w:p/>
        </w:tc>
        <w:tc>
          <w:p>
            <w:pPr>
              <w:keepNext w:val="true"/>
              <w:spacing w:before="100" w:after="0"/>
              <w:rPr>
                <w:b/>
              </w:rPr>
            </w:pPr>
            <w:r>
              <w:rPr>
                <w:b/>
              </w:rPr>
              <w:t>Funding</w:t>
            </w:r>
          </w:p>
        </w:tc>
        <w:tc>
          <w:p>
            <w:pPr>
              <w:spacing w:before="100" w:after="0"/>
            </w:pPr>
            <w:r>
              <w:rPr>
                <w:rFonts w:ascii="Calibri" w:hAnsi="Calibri"/>
                <w:color w:val="000000"/>
                <w:sz w:val="22"/>
              </w:rPr>
              <w:t xml:space="preserve">CDBG: $465,259</w:t>
            </w:r>
          </w:p>
        </w:tc>
      </w:tr>
      <w:tr>
        <w:trPr>
          <w:cantSplit w:val="true"/>
        </w:trPr>
        <w:tc>
          <w:tcPr>
            <w:vMerge/>
          </w:tcPr>
          <w:p/>
        </w:tc>
        <w:tc>
          <w:p>
            <w:pPr>
              <w:keepNext w:val="true"/>
              <w:spacing w:before="100" w:after="0"/>
              <w:rPr>
                <w:b/>
              </w:rPr>
            </w:pPr>
            <w:r>
              <w:rPr>
                <w:b/>
              </w:rPr>
              <w:t>Description</w:t>
            </w:r>
          </w:p>
        </w:tc>
        <w:tc>
          <w:p>
            <w:pPr>
              <w:spacing w:before="100" w:after="0"/>
            </w:pPr>
            <w:r>
              <w:rPr>
                <w:rFonts w:ascii="Calibri" w:hAnsi="Calibri"/>
                <w:color w:val="000000"/>
                <w:sz w:val="22"/>
              </w:rPr>
              <w:t xml:space="preserve">Funds will be utilized to provide improvements to facilities utilized by Non-Profit Agencies that provide services to homeless and/or low- and moderate-income people.  Funds may also be used for engineering and architectural needs for new homeless facility resource centers.</w:t>
            </w:r>
          </w:p>
        </w:tc>
      </w:tr>
      <w:tr>
        <w:trPr>
          <w:cantSplit w:val="true"/>
        </w:trPr>
        <w:tc>
          <w:tcPr>
            <w:vMerge/>
          </w:tcPr>
          <w:p/>
        </w:tc>
        <w:tc>
          <w:p>
            <w:pPr>
              <w:keepNext w:val="true"/>
              <w:spacing w:before="100" w:after="0"/>
              <w:rPr>
                <w:b/>
              </w:rPr>
            </w:pPr>
            <w:r>
              <w:rPr>
                <w:b/>
              </w:rPr>
              <w:t>Target Date</w:t>
            </w:r>
          </w:p>
        </w:tc>
        <w:tc>
          <w:p>
            <w:pPr>
              <w:spacing w:before="100" w:after="0"/>
            </w:pPr>
            <w:r>
              <w:rPr>
                <w:rFonts w:ascii="Calibri" w:hAnsi="Calibri"/>
                <w:color w:val="000000"/>
                <w:sz w:val="22"/>
              </w:rPr>
              <w:t xml:space="preserve">6/30/2021</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p>
            <w:pPr>
              <w:spacing w:before="100" w:after="0"/>
            </w:pPr>
            <w:r>
              <w:rPr>
                <w:rFonts w:ascii="Calibri" w:hAnsi="Calibri"/>
                <w:color w:val="000000"/>
                <w:sz w:val="22"/>
              </w:rPr>
              <w:t xml:space="preserve">It is estimated that 1648 LMI clients will benefit from receiving services at the improved facilities in the FY20 program year,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Location Description</w:t>
            </w:r>
          </w:p>
        </w:tc>
        <w:tc>
          <w:p>
            <w:pPr>
              <w:spacing w:before="100" w:after="0"/>
            </w:pPr>
            <w:r>
              <w:rPr>
                <w:rFonts w:ascii="Calibri" w:hAnsi="Calibri"/>
                <w:color w:val="000000"/>
                <w:sz w:val="22"/>
              </w:rPr>
              <w:t xml:space="preserve">Guadalupe School: 1385 North 1200 West, Salt Lake City, UT  84116</w:t>
            </w:r>
          </w:p>
          <w:p>
            <w:pPr>
              <w:spacing w:before="100" w:after="0"/>
            </w:pPr>
            <w:r>
              <w:rPr>
                <w:rFonts w:ascii="Calibri" w:hAnsi="Calibri"/>
                <w:color w:val="000000"/>
                <w:sz w:val="22"/>
              </w:rPr>
              <w:t xml:space="preserve">Project Reality: 150 East 700 South, Salt Lake City,  UT  84111</w:t>
            </w:r>
          </w:p>
          <w:p>
            <w:pPr>
              <w:spacing w:before="100" w:after="0"/>
            </w:pPr>
            <w:r>
              <w:rPr>
                <w:rFonts w:ascii="Calibri" w:hAnsi="Calibri"/>
                <w:color w:val="000000"/>
                <w:sz w:val="22"/>
              </w:rPr>
              <w:t xml:space="preserve">The INN Between: 1216 East 1300 South Salt Lake City, UT  84105   </w:t>
            </w:r>
          </w:p>
          <w:p>
            <w:pPr>
              <w:spacing w:before="100" w:after="0"/>
            </w:pPr>
            <w:r>
              <w:rPr>
                <w:rFonts w:ascii="Calibri" w:hAnsi="Calibri"/>
                <w:color w:val="000000"/>
                <w:sz w:val="22"/>
              </w:rPr>
              <w:t xml:space="preserve">Odyssey House:  Salt Lake City, UT  84111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Planned Activities</w:t>
            </w:r>
          </w:p>
        </w:tc>
        <w:tc>
          <w:p>
            <w:pPr>
              <w:spacing w:before="100" w:after="0"/>
            </w:pPr>
            <w:r>
              <w:rPr>
                <w:rFonts w:ascii="Calibri" w:hAnsi="Calibri"/>
                <w:color w:val="000000"/>
                <w:sz w:val="22"/>
              </w:rPr>
              <w:t xml:space="preserve">Funds will provide critical fire safety equipment and ADA access, and facility improvements for non-profit agencies that serve the homeless and those that are struggling to overcome opioid addiction.</w:t>
            </w:r>
          </w:p>
        </w:tc>
      </w:tr>
      <w:tr>
        <w:trPr>
          <w:cantSplit w:val="true"/>
        </w:trPr>
        <w:tc>
          <w:tcPr>
            <w:vMerge w:val="restart"/>
          </w:tcPr>
          <w:p>
            <w:r>
              <w:rPr>
                <w:b w:val="true"/>
              </w:rPr>
              <w:t>11</w:t>
            </w:r>
          </w:p>
        </w:tc>
        <w:tc>
          <w:p>
            <w:pPr>
              <w:keepNext w:val="true"/>
              <w:spacing w:before="100" w:after="0"/>
              <w:rPr>
                <w:b/>
              </w:rPr>
            </w:pPr>
            <w:r>
              <w:rPr>
                <w:b/>
              </w:rPr>
              <w:t>Project Name</w:t>
            </w:r>
          </w:p>
        </w:tc>
        <w:tc>
          <w:p>
            <w:pPr>
              <w:spacing w:before="100" w:after="0"/>
            </w:pPr>
            <w:r>
              <w:rPr>
                <w:rFonts w:ascii="Calibri" w:hAnsi="Calibri"/>
                <w:color w:val="000000"/>
                <w:sz w:val="22"/>
              </w:rPr>
              <w:t xml:space="preserve">09-CDBG Private Non-Profit Public Services</w:t>
            </w:r>
          </w:p>
        </w:tc>
      </w:tr>
      <w:tr>
        <w:trPr>
          <w:cantSplit w:val="true"/>
        </w:trPr>
        <w:tc>
          <w:tcPr>
            <w:vMerge/>
          </w:tcPr>
          <w:p/>
        </w:tc>
        <w:tc>
          <w:p>
            <w:pPr>
              <w:keepNext w:val="true"/>
              <w:spacing w:before="100" w:after="0"/>
              <w:rPr>
                <w:b/>
              </w:rPr>
            </w:pPr>
            <w:r>
              <w:rPr>
                <w:b/>
              </w:rPr>
              <w:t>Target Area</w:t>
            </w:r>
          </w:p>
        </w:tc>
        <w:tc>
          <w:p>
            <w:pPr>
              <w:spacing w:before="100" w:after="0"/>
            </w:pPr>
            <w:r>
              <w:rPr>
                <w:rFonts w:ascii="Calibri" w:hAnsi="Calibri"/>
                <w:color w:val="000000"/>
                <w:sz w:val="22"/>
              </w:rPr>
              <w:t xml:space="preserve">Salt Lake County</w:t>
            </w:r>
          </w:p>
        </w:tc>
      </w:tr>
      <w:tr>
        <w:trPr>
          <w:cantSplit w:val="true"/>
        </w:trPr>
        <w:tc>
          <w:tcPr>
            <w:vMerge/>
          </w:tcPr>
          <w:p/>
        </w:tc>
        <w:tc>
          <w:p>
            <w:pPr>
              <w:keepNext w:val="true"/>
              <w:spacing w:before="100" w:after="0"/>
              <w:rPr>
                <w:b/>
              </w:rPr>
            </w:pPr>
            <w:r>
              <w:rPr>
                <w:b/>
              </w:rPr>
              <w:t>Goals Supported</w:t>
            </w:r>
          </w:p>
        </w:tc>
        <w:tc>
          <w:p>
            <w:pPr>
              <w:spacing w:before="100" w:after="0"/>
            </w:pPr>
            <w:r>
              <w:rPr>
                <w:rFonts w:ascii="Calibri" w:hAnsi="Calibri"/>
                <w:color w:val="000000"/>
                <w:sz w:val="22"/>
              </w:rPr>
              <w:t xml:space="preserve">Access to crisis assistance</w:t>
            </w:r>
            <w:r>
              <w:rPr>
                <w:rFonts w:ascii="Calibri" w:hAnsi="Calibri"/>
                <w:color w:val="000000"/>
                <w:sz w:val="22"/>
              </w:rPr>
              <w:br/>
              <w:t xml:space="preserve"/>
            </w:r>
            <w:r>
              <w:rPr>
                <w:rFonts w:ascii="Calibri" w:hAnsi="Calibri"/>
                <w:color w:val="000000"/>
                <w:sz w:val="22"/>
              </w:rPr>
              <w:t xml:space="preserve">Economic stability</w:t>
            </w:r>
          </w:p>
        </w:tc>
      </w:tr>
      <w:tr>
        <w:trPr>
          <w:cantSplit w:val="true"/>
        </w:trPr>
        <w:tc>
          <w:tcPr>
            <w:vMerge/>
          </w:tcPr>
          <w:p/>
        </w:tc>
        <w:tc>
          <w:p>
            <w:pPr>
              <w:keepNext w:val="true"/>
              <w:spacing w:before="100" w:after="0"/>
              <w:rPr>
                <w:b/>
              </w:rPr>
            </w:pPr>
            <w:r>
              <w:rPr>
                <w:b/>
              </w:rPr>
              <w:t>Needs Addressed</w:t>
            </w:r>
          </w:p>
        </w:tc>
        <w:tc>
          <w:p>
            <w:pPr>
              <w:spacing w:before="100" w:after="0"/>
            </w:pPr>
            <w:r>
              <w:rPr>
                <w:rFonts w:ascii="Calibri" w:hAnsi="Calibri"/>
                <w:color w:val="000000"/>
                <w:sz w:val="22"/>
              </w:rPr>
              <w:t xml:space="preserve">Access to crisis assistance</w:t>
            </w:r>
            <w:r>
              <w:rPr>
                <w:rFonts w:ascii="Calibri" w:hAnsi="Calibri"/>
                <w:color w:val="000000"/>
                <w:sz w:val="22"/>
              </w:rPr>
              <w:br/>
              <w:t xml:space="preserve"/>
            </w:r>
            <w:r>
              <w:rPr>
                <w:rFonts w:ascii="Calibri" w:hAnsi="Calibri"/>
                <w:color w:val="000000"/>
                <w:sz w:val="22"/>
              </w:rPr>
              <w:t xml:space="preserve">Stability and Safety</w:t>
            </w:r>
            <w:r>
              <w:rPr>
                <w:rFonts w:ascii="Calibri" w:hAnsi="Calibri"/>
                <w:color w:val="000000"/>
                <w:sz w:val="22"/>
              </w:rPr>
              <w:br/>
              <w:t xml:space="preserve"/>
            </w:r>
            <w:r>
              <w:rPr>
                <w:rFonts w:ascii="Calibri" w:hAnsi="Calibri"/>
                <w:color w:val="000000"/>
                <w:sz w:val="22"/>
              </w:rPr>
              <w:t xml:space="preserve">Economic  Stability</w:t>
            </w:r>
          </w:p>
        </w:tc>
      </w:tr>
      <w:tr>
        <w:trPr>
          <w:cantSplit w:val="true"/>
        </w:trPr>
        <w:tc>
          <w:tcPr>
            <w:vMerge/>
          </w:tcPr>
          <w:p/>
        </w:tc>
        <w:tc>
          <w:p>
            <w:pPr>
              <w:keepNext w:val="true"/>
              <w:spacing w:before="100" w:after="0"/>
              <w:rPr>
                <w:b/>
              </w:rPr>
            </w:pPr>
            <w:r>
              <w:rPr>
                <w:b/>
              </w:rPr>
              <w:t>Funding</w:t>
            </w:r>
          </w:p>
        </w:tc>
        <w:tc>
          <w:p>
            <w:pPr>
              <w:spacing w:before="100" w:after="0"/>
            </w:pPr>
            <w:r>
              <w:rPr>
                <w:rFonts w:ascii="Calibri" w:hAnsi="Calibri"/>
                <w:color w:val="000000"/>
                <w:sz w:val="22"/>
              </w:rPr>
              <w:t xml:space="preserve">CDBG: $379,076</w:t>
            </w:r>
          </w:p>
        </w:tc>
      </w:tr>
      <w:tr>
        <w:trPr>
          <w:cantSplit w:val="true"/>
        </w:trPr>
        <w:tc>
          <w:tcPr>
            <w:vMerge/>
          </w:tcPr>
          <w:p/>
        </w:tc>
        <w:tc>
          <w:p>
            <w:pPr>
              <w:keepNext w:val="true"/>
              <w:spacing w:before="100" w:after="0"/>
              <w:rPr>
                <w:b/>
              </w:rPr>
            </w:pPr>
            <w:r>
              <w:rPr>
                <w:b/>
              </w:rPr>
              <w:t>Description</w:t>
            </w:r>
          </w:p>
        </w:tc>
        <w:tc>
          <w:p>
            <w:pPr>
              <w:spacing w:before="100" w:after="0"/>
            </w:pPr>
            <w:r>
              <w:rPr>
                <w:rFonts w:ascii="Calibri" w:hAnsi="Calibri"/>
                <w:color w:val="000000"/>
                <w:sz w:val="22"/>
              </w:rPr>
              <w:t xml:space="preserve">Funds will be used to provide assistance to Non-Profit agencies to provide services that meet specific outcomes identified through the Needs Assessment and the County Goals and Priorities.</w:t>
            </w:r>
          </w:p>
        </w:tc>
      </w:tr>
      <w:tr>
        <w:trPr>
          <w:cantSplit w:val="true"/>
        </w:trPr>
        <w:tc>
          <w:tcPr>
            <w:vMerge/>
          </w:tcPr>
          <w:p/>
        </w:tc>
        <w:tc>
          <w:p>
            <w:pPr>
              <w:keepNext w:val="true"/>
              <w:spacing w:before="100" w:after="0"/>
              <w:rPr>
                <w:b/>
              </w:rPr>
            </w:pPr>
            <w:r>
              <w:rPr>
                <w:b/>
              </w:rPr>
              <w:t>Target Date</w:t>
            </w:r>
          </w:p>
        </w:tc>
        <w:tc>
          <w:p>
            <w:pPr>
              <w:spacing w:before="100" w:after="0"/>
            </w:pPr>
            <w:r>
              <w:rPr>
                <w:rFonts w:ascii="Calibri" w:hAnsi="Calibri"/>
                <w:color w:val="000000"/>
                <w:sz w:val="22"/>
              </w:rPr>
              <w:t xml:space="preserve">6/30/2021</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p>
            <w:pPr>
              <w:spacing w:before="100" w:after="0"/>
            </w:pPr>
            <w:r>
              <w:rPr>
                <w:rFonts w:ascii="Calibri" w:hAnsi="Calibri"/>
                <w:color w:val="000000"/>
                <w:sz w:val="22"/>
              </w:rPr>
              <w:t xml:space="preserve">It is estimated that 3749 LMI clients will benefit from public services provided by non-profit agencies which serve those who are underserved or vulnerable, including those who are homeless, have disabilities, those who are fleeing domestic violence or have experienced sexual violence, those who are struggling with mental health and substance abuse issues, and refugee and new Americans entrepreneurs.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Location Description</w:t>
            </w:r>
          </w:p>
        </w:tc>
        <w:tc>
          <w:p>
            <w:pPr>
              <w:spacing w:before="100" w:after="0"/>
            </w:pPr>
            <w:r>
              <w:rPr>
                <w:rFonts w:ascii="Calibri" w:hAnsi="Calibri"/>
                <w:color w:val="000000"/>
                <w:sz w:val="22"/>
              </w:rPr>
              <w:t xml:space="preserve">Columbus Foundation: 3495 S. West Temple and in the community</w:t>
            </w:r>
          </w:p>
          <w:p>
            <w:pPr>
              <w:spacing w:before="100" w:after="0"/>
            </w:pPr>
            <w:r>
              <w:rPr>
                <w:rFonts w:ascii="Calibri" w:hAnsi="Calibri"/>
                <w:color w:val="000000"/>
                <w:sz w:val="22"/>
              </w:rPr>
              <w:t xml:space="preserve">First Step House: </w:t>
            </w:r>
            <w:r>
              <w:rPr>
                <w:rFonts w:ascii="Calibri" w:hAnsi="Calibri"/>
                <w:color w:val="000000"/>
                <w:sz w:val="22"/>
              </w:rPr>
              <w:t xml:space="preserve">411 N. Grant Street, Salt Lake City 84116 - FSH Residential Treatment Facility; 440 S. 500 E., Salt Lake City 84111 - Recovery Campus/Veterans' Services; 2200 South State St., South Salt Lake 84115 - Outpatient Facility</w:t>
            </w:r>
          </w:p>
          <w:p>
            <w:pPr>
              <w:spacing w:before="100" w:after="0"/>
            </w:pPr>
            <w:r>
              <w:rPr>
                <w:rFonts w:ascii="Calibri" w:hAnsi="Calibri"/>
                <w:color w:val="000000"/>
                <w:sz w:val="22"/>
              </w:rPr>
              <w:t xml:space="preserve">International Rescue Committee: </w:t>
            </w:r>
            <w:r>
              <w:rPr>
                <w:rFonts w:ascii="Calibri" w:hAnsi="Calibri"/>
                <w:color w:val="000000"/>
                <w:sz w:val="22"/>
              </w:rPr>
              <w:t xml:space="preserve">Spice Kitchen Incubator located at 350 W 600 S, SLC, UT. </w:t>
            </w:r>
          </w:p>
          <w:p>
            <w:pPr>
              <w:spacing w:before="100" w:after="0"/>
            </w:pPr>
            <w:r>
              <w:rPr>
                <w:rFonts w:ascii="Calibri" w:hAnsi="Calibri"/>
                <w:color w:val="000000"/>
                <w:sz w:val="22"/>
              </w:rPr>
              <w:t xml:space="preserve">Rape Recovery Center:  2035 South 1300 East, Salt Lake City 84105</w:t>
            </w:r>
            <w:r>
              <w:rPr>
                <w:rFonts w:ascii="Calibri" w:hAnsi="Calibri"/>
                <w:color w:val="000000"/>
                <w:sz w:val="22"/>
              </w:rPr>
              <w:br/>
              <w:t xml:space="preserve"/>
            </w:r>
            <w:r>
              <w:rPr>
                <w:rFonts w:ascii="Calibri" w:hAnsi="Calibri"/>
                <w:color w:val="000000"/>
                <w:sz w:val="22"/>
              </w:rPr>
              <w:br/>
              <w:t xml:space="preserve"/>
            </w:r>
          </w:p>
          <w:p>
            <w:pPr>
              <w:spacing w:before="100" w:after="0"/>
            </w:pPr>
            <w:r>
              <w:rPr>
                <w:rFonts w:ascii="Calibri" w:hAnsi="Calibri"/>
                <w:color w:val="000000"/>
                <w:sz w:val="22"/>
              </w:rPr>
              <w:t xml:space="preserve">South Valley Services:  Non-disclosed location to protect domestic violence survivors</w:t>
            </w:r>
          </w:p>
          <w:p>
            <w:pPr>
              <w:spacing w:before="100" w:after="0"/>
            </w:pPr>
            <w:r>
              <w:rPr>
                <w:rFonts w:ascii="Calibri" w:hAnsi="Calibri"/>
                <w:color w:val="000000"/>
                <w:sz w:val="22"/>
              </w:rPr>
              <w:t xml:space="preserve">The INN Between: 1216 East 1300 South, Salt Lake City, Utah 84105</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Planned Activities</w:t>
            </w:r>
          </w:p>
        </w:tc>
        <w:tc>
          <w:p>
            <w:pPr>
              <w:spacing w:before="100" w:after="0"/>
            </w:pPr>
            <w:r>
              <w:rPr>
                <w:rFonts w:ascii="Calibri" w:hAnsi="Calibri"/>
                <w:color w:val="000000"/>
                <w:sz w:val="22"/>
              </w:rPr>
              <w:t xml:space="preserve">Public service activities including case management, employment support, and advocacy.</w:t>
            </w:r>
          </w:p>
          <w:p>
            <w:pPr>
              <w:spacing w:before="100" w:after="0"/>
            </w:pPr>
          </w:p>
        </w:tc>
      </w:tr>
      <w:tr>
        <w:trPr>
          <w:cantSplit w:val="true"/>
        </w:trPr>
        <w:tc>
          <w:tcPr>
            <w:vMerge w:val="restart"/>
          </w:tcPr>
          <w:p>
            <w:r>
              <w:rPr>
                <w:b w:val="true"/>
              </w:rPr>
              <w:t>12</w:t>
            </w:r>
          </w:p>
        </w:tc>
        <w:tc>
          <w:p>
            <w:pPr>
              <w:keepNext w:val="true"/>
              <w:spacing w:before="100" w:after="0"/>
              <w:rPr>
                <w:b/>
              </w:rPr>
            </w:pPr>
            <w:r>
              <w:rPr>
                <w:b/>
              </w:rPr>
              <w:t>Project Name</w:t>
            </w:r>
          </w:p>
        </w:tc>
        <w:tc>
          <w:p>
            <w:pPr>
              <w:spacing w:before="100" w:after="0"/>
            </w:pPr>
            <w:r>
              <w:rPr>
                <w:rFonts w:ascii="Calibri" w:hAnsi="Calibri"/>
                <w:color w:val="000000"/>
                <w:sz w:val="22"/>
              </w:rPr>
              <w:t xml:space="preserve">HESG20 - Salt Lake County</w:t>
            </w:r>
          </w:p>
        </w:tc>
      </w:tr>
      <w:tr>
        <w:trPr>
          <w:cantSplit w:val="true"/>
        </w:trPr>
        <w:tc>
          <w:tcPr>
            <w:vMerge/>
          </w:tcPr>
          <w:p/>
        </w:tc>
        <w:tc>
          <w:p>
            <w:pPr>
              <w:keepNext w:val="true"/>
              <w:spacing w:before="100" w:after="0"/>
              <w:rPr>
                <w:b/>
              </w:rPr>
            </w:pPr>
            <w:r>
              <w:rPr>
                <w:b/>
              </w:rPr>
              <w:t>Target Area</w:t>
            </w:r>
          </w:p>
        </w:tc>
        <w:tc>
          <w:p>
            <w:pPr>
              <w:spacing w:before="100" w:after="0"/>
            </w:pPr>
            <w:r>
              <w:rPr>
                <w:rFonts w:ascii="Calibri" w:hAnsi="Calibri"/>
                <w:color w:val="000000"/>
                <w:sz w:val="22"/>
              </w:rPr>
              <w:t xml:space="preserve">Salt Lake County</w:t>
            </w:r>
          </w:p>
        </w:tc>
      </w:tr>
      <w:tr>
        <w:trPr>
          <w:cantSplit w:val="true"/>
        </w:trPr>
        <w:tc>
          <w:tcPr>
            <w:vMerge/>
          </w:tcPr>
          <w:p/>
        </w:tc>
        <w:tc>
          <w:p>
            <w:pPr>
              <w:keepNext w:val="true"/>
              <w:spacing w:before="100" w:after="0"/>
              <w:rPr>
                <w:b/>
              </w:rPr>
            </w:pPr>
            <w:r>
              <w:rPr>
                <w:b/>
              </w:rPr>
              <w:t>Goals Supported</w:t>
            </w:r>
          </w:p>
        </w:tc>
        <w:tc>
          <w:p>
            <w:pPr>
              <w:spacing w:before="100" w:after="0"/>
            </w:pPr>
            <w:r>
              <w:rPr>
                <w:rFonts w:ascii="Calibri" w:hAnsi="Calibri"/>
                <w:color w:val="000000"/>
                <w:sz w:val="22"/>
              </w:rPr>
              <w:t xml:space="preserve">Rental Assistance</w:t>
            </w:r>
            <w:r>
              <w:rPr>
                <w:rFonts w:ascii="Calibri" w:hAnsi="Calibri"/>
                <w:color w:val="000000"/>
                <w:sz w:val="22"/>
              </w:rPr>
              <w:br/>
              <w:t xml:space="preserve"/>
            </w:r>
            <w:r>
              <w:rPr>
                <w:rFonts w:ascii="Calibri" w:hAnsi="Calibri"/>
                <w:color w:val="000000"/>
                <w:sz w:val="22"/>
              </w:rPr>
              <w:t xml:space="preserve">Access to crisis assistance</w:t>
            </w:r>
            <w:r>
              <w:rPr>
                <w:rFonts w:ascii="Calibri" w:hAnsi="Calibri"/>
                <w:color w:val="000000"/>
                <w:sz w:val="22"/>
              </w:rPr>
              <w:br/>
              <w:t xml:space="preserve"/>
            </w:r>
            <w:r>
              <w:rPr>
                <w:rFonts w:ascii="Calibri" w:hAnsi="Calibri"/>
                <w:color w:val="000000"/>
                <w:sz w:val="22"/>
              </w:rPr>
              <w:t xml:space="preserve">Stability and safety</w:t>
            </w:r>
          </w:p>
        </w:tc>
      </w:tr>
      <w:tr>
        <w:trPr>
          <w:cantSplit w:val="true"/>
        </w:trPr>
        <w:tc>
          <w:tcPr>
            <w:vMerge/>
          </w:tcPr>
          <w:p/>
        </w:tc>
        <w:tc>
          <w:p>
            <w:pPr>
              <w:keepNext w:val="true"/>
              <w:spacing w:before="100" w:after="0"/>
              <w:rPr>
                <w:b/>
              </w:rPr>
            </w:pPr>
            <w:r>
              <w:rPr>
                <w:b/>
              </w:rPr>
              <w:t>Needs Addressed</w:t>
            </w:r>
          </w:p>
        </w:tc>
        <w:tc>
          <w:p>
            <w:pPr>
              <w:spacing w:before="100" w:after="0"/>
            </w:pPr>
            <w:r>
              <w:rPr>
                <w:rFonts w:ascii="Calibri" w:hAnsi="Calibri"/>
                <w:color w:val="000000"/>
                <w:sz w:val="22"/>
              </w:rPr>
              <w:t xml:space="preserve">Rental assistance</w:t>
            </w:r>
            <w:r>
              <w:rPr>
                <w:rFonts w:ascii="Calibri" w:hAnsi="Calibri"/>
                <w:color w:val="000000"/>
                <w:sz w:val="22"/>
              </w:rPr>
              <w:br/>
              <w:t xml:space="preserve"/>
            </w:r>
            <w:r>
              <w:rPr>
                <w:rFonts w:ascii="Calibri" w:hAnsi="Calibri"/>
                <w:color w:val="000000"/>
                <w:sz w:val="22"/>
              </w:rPr>
              <w:t xml:space="preserve">Access to crisis assistance</w:t>
            </w:r>
            <w:r>
              <w:rPr>
                <w:rFonts w:ascii="Calibri" w:hAnsi="Calibri"/>
                <w:color w:val="000000"/>
                <w:sz w:val="22"/>
              </w:rPr>
              <w:br/>
              <w:t xml:space="preserve"/>
            </w:r>
            <w:r>
              <w:rPr>
                <w:rFonts w:ascii="Calibri" w:hAnsi="Calibri"/>
                <w:color w:val="000000"/>
                <w:sz w:val="22"/>
              </w:rPr>
              <w:t xml:space="preserve">Stability and Safety</w:t>
            </w:r>
          </w:p>
        </w:tc>
      </w:tr>
      <w:tr>
        <w:trPr>
          <w:cantSplit w:val="true"/>
        </w:trPr>
        <w:tc>
          <w:tcPr>
            <w:vMerge/>
          </w:tcPr>
          <w:p/>
        </w:tc>
        <w:tc>
          <w:p>
            <w:pPr>
              <w:keepNext w:val="true"/>
              <w:spacing w:before="100" w:after="0"/>
              <w:rPr>
                <w:b/>
              </w:rPr>
            </w:pPr>
            <w:r>
              <w:rPr>
                <w:b/>
              </w:rPr>
              <w:t>Funding</w:t>
            </w:r>
          </w:p>
        </w:tc>
        <w:tc>
          <w:p>
            <w:pPr>
              <w:spacing w:before="100" w:after="0"/>
            </w:pPr>
            <w:r>
              <w:rPr>
                <w:rFonts w:ascii="Calibri" w:hAnsi="Calibri"/>
                <w:color w:val="000000"/>
                <w:sz w:val="22"/>
              </w:rPr>
              <w:t xml:space="preserve">ESG: $217,817</w:t>
            </w:r>
          </w:p>
        </w:tc>
      </w:tr>
      <w:tr>
        <w:trPr>
          <w:cantSplit w:val="true"/>
        </w:trPr>
        <w:tc>
          <w:tcPr>
            <w:vMerge/>
          </w:tcPr>
          <w:p/>
        </w:tc>
        <w:tc>
          <w:p>
            <w:pPr>
              <w:keepNext w:val="true"/>
              <w:spacing w:before="100" w:after="0"/>
              <w:rPr>
                <w:b/>
              </w:rPr>
            </w:pPr>
            <w:r>
              <w:rPr>
                <w:b/>
              </w:rPr>
              <w:t>Description</w:t>
            </w:r>
          </w:p>
        </w:tc>
        <w:tc>
          <w:p>
            <w:pPr>
              <w:spacing w:before="100" w:after="0"/>
            </w:pPr>
            <w:r>
              <w:rPr>
                <w:rFonts w:ascii="Calibri" w:hAnsi="Calibri"/>
                <w:color w:val="000000"/>
                <w:sz w:val="22"/>
              </w:rPr>
              <w:t xml:space="preserve">Funding will be provided to all eligible activities under the HESG program.  This includes Emergency Shelter Activities, Rapid Re-Housing, Homeless Prevention (Diversion) and Administration.ESG-CV funds will be used to prevent, prepare for, and respond to the coronavirus pandemic (COVID-19) among individuals and families who are homeless or receiving homeless assistance; and to support additional homeless assistance and homelessness prevention activities to mitigate the impacts of COVID-19.  Salt Lake County intends to utilize funds for the eligible components of Rapid Re-Housing, Homelessness Prevention, Emergency Shelter, and/or Temporary Shelter, including the activities of rental assistance, housing relocation and stabilization services, shelter operations, and administrative costs.</w:t>
            </w:r>
          </w:p>
        </w:tc>
      </w:tr>
      <w:tr>
        <w:trPr>
          <w:cantSplit w:val="true"/>
        </w:trPr>
        <w:tc>
          <w:tcPr>
            <w:vMerge/>
          </w:tcPr>
          <w:p/>
        </w:tc>
        <w:tc>
          <w:p>
            <w:pPr>
              <w:keepNext w:val="true"/>
              <w:spacing w:before="100" w:after="0"/>
              <w:rPr>
                <w:b/>
              </w:rPr>
            </w:pPr>
            <w:r>
              <w:rPr>
                <w:b/>
              </w:rPr>
              <w:t>Target Date</w:t>
            </w:r>
          </w:p>
        </w:tc>
        <w:tc>
          <w:p>
            <w:pPr>
              <w:spacing w:before="100" w:after="0"/>
            </w:pPr>
            <w:r>
              <w:rPr>
                <w:rFonts w:ascii="Calibri" w:hAnsi="Calibri"/>
                <w:color w:val="000000"/>
                <w:sz w:val="22"/>
              </w:rPr>
              <w:t xml:space="preserve">6/30/2021</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p>
            <w:pPr>
              <w:spacing w:before="100" w:after="0"/>
            </w:pPr>
            <w:r>
              <w:rPr>
                <w:rFonts w:ascii="Calibri" w:hAnsi="Calibri"/>
                <w:color w:val="000000"/>
                <w:sz w:val="22"/>
              </w:rPr>
              <w:t xml:space="preserve">It is estimated that 4624 homeless indviduals and homeless persons in families will benefit from Salt Lake County ESG funded activities in the FY20 program year.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Location Description</w:t>
            </w:r>
          </w:p>
        </w:tc>
        <w:tc>
          <w:p>
            <w:pPr>
              <w:spacing w:before="100" w:after="0"/>
            </w:pPr>
            <w:r>
              <w:rPr>
                <w:rFonts w:ascii="Calibri" w:hAnsi="Calibri"/>
                <w:color w:val="000000"/>
                <w:sz w:val="22"/>
              </w:rPr>
              <w:t xml:space="preserve">The Road Home Emergency Shelter Program:  Midvale Family Resource Center, 529 W. 9th Ave, Midvale, UT - shelter/supportive services; Men's HRC 3380 S. 1000 West, S. SL, UT 84119 shelter/supportive services</w:t>
            </w:r>
          </w:p>
          <w:p>
            <w:pPr>
              <w:spacing w:before="100" w:after="0"/>
            </w:pPr>
            <w:r>
              <w:rPr>
                <w:rFonts w:ascii="Calibri" w:hAnsi="Calibri"/>
                <w:color w:val="000000"/>
                <w:sz w:val="22"/>
              </w:rPr>
              <w:t xml:space="preserve">The Road Home Rapid ReHousing Program:  Midvale Family Resource Center, 529 W 9th Ave, Midvale, Utah - shelter &amp; case management services; Scattered motels, Salt Lake County shelter &amp; case management services; Scattered housing sites, Salt Lake County - case management site visits.</w:t>
            </w:r>
          </w:p>
          <w:p>
            <w:pPr>
              <w:spacing w:before="100" w:after="0"/>
            </w:pPr>
            <w:r>
              <w:rPr>
                <w:rFonts w:ascii="Calibri" w:hAnsi="Calibri"/>
                <w:color w:val="000000"/>
                <w:sz w:val="22"/>
              </w:rPr>
              <w:t xml:space="preserve">YWCA Women in Jeopardy Program:  322 East 300 South, Salt Lake City, Utah 84111; crisis shelter and supportive services for domestic violence survivors and their children</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Planned Activities</w:t>
            </w:r>
          </w:p>
        </w:tc>
        <w:tc>
          <w:p>
            <w:pPr>
              <w:spacing w:before="100" w:after="0"/>
            </w:pPr>
            <w:r>
              <w:rPr>
                <w:rFonts w:ascii="Calibri" w:hAnsi="Calibri"/>
                <w:color w:val="000000"/>
                <w:sz w:val="22"/>
              </w:rPr>
              <w:t xml:space="preserve">ESG funds will support Emergency Shelter at the Road Home and the YWCA, through essential services and shelter operations.  Rapid Rehousing will be facilitated by the Road Home through rental assistance and housing relocation and stabilization services.</w:t>
            </w:r>
          </w:p>
          <w:p>
            <w:pPr>
              <w:spacing w:before="100" w:after="0"/>
            </w:pPr>
          </w:p>
        </w:tc>
      </w:tr>
    </w:tbl>
    <w:p/>
    <w:p>
      <w:pPr>
        <w:sectPr>
          <w:pgSz w:w="15840" w:h="12240" w:orient="landscape" w:code="1"/>
          <w:pgMar w:top="1440" w:right="1440" w:bottom="1440" w:left="1440" w:header="720" w:footer="720" w:gutter="0"/>
          <w:cols w:space="720"/>
          <w:docGrid w:linePitch="360"/>
        </w:sectPr>
      </w:pPr>
    </w:p>
    <w:bookmarkEnd w:id="4"/>
    <w:p>
      <w:pPr>
        <w:pStyle w:val="Heading2"/>
        <w:pageBreakBefore/>
        <w:widowControl w:val="false"/>
        <w:rPr>
          <w:rFonts w:ascii="Calibri" w:hAnsi="Calibri"/>
          <w:i w:val="false"/>
        </w:rPr>
      </w:pPr>
      <w:r>
        <w:rPr>
          <w:rFonts w:ascii="Calibri" w:hAnsi="Calibri"/>
          <w:i w:val="false"/>
        </w:rPr>
        <w:t>AP-50 Geographic Distribution - 91.420, 91.220(f)</w:t>
      </w:r>
    </w:p>
    <w:p>
      <w:pPr>
        <w:keepNext/>
        <w:widowControl w:val="false"/>
        <w:rPr>
          <w:b/>
          <w:sz w:val="24"/>
          <w:szCs w:val="24"/>
        </w:rPr>
      </w:pPr>
      <w:r>
        <w:rPr>
          <w:b/>
          <w:sz w:val="24"/>
          <w:szCs w:val="24"/>
        </w:rPr>
        <w:t xml:space="preserve">Description of the geographic areas of the entitlement (including areas of low-income and minority concentration) where assistance will be directed </w:t>
      </w:r>
    </w:p>
    <w:p>
      <w:pPr>
        <w:keepNext/>
        <w:widowControl w:val="false"/>
        <w:spacing w:beforeAutospacing="true" w:afterAutospacing="true"/>
        <w:rPr>
          <w:rFonts w:cs="Arial"/>
          <w:szCs w:val="26"/>
        </w:rPr>
      </w:pPr>
      <w:r>
        <w:rPr>
          <w:rFonts w:cs="Arial"/>
        </w:rPr>
        <w:t xml:space="preserve">Salt Lake County’s geographic strategy is based on (1) eligible areas for programs and projects to be funding out of the HOME program,  ESG program, and CDBG program, (2) location of great needs identified by data, location of Low Opportunity Zones, and location of Opportunity Zones, and (3) input received on the greatest needs in Salt Lake County.</w:t>
      </w:r>
    </w:p>
    <w:p>
      <w:pPr>
        <w:keepNext/>
        <w:widowControl w:val="false"/>
        <w:spacing w:beforeAutospacing="true" w:afterAutospacing="true"/>
        <w:rPr>
          <w:rFonts w:cs="Arial"/>
          <w:szCs w:val="26"/>
        </w:rPr>
      </w:pPr>
    </w:p>
    <w:p>
      <w:pPr>
        <w:keepNext/>
        <w:widowControl w:val="false"/>
        <w:rPr>
          <w:b/>
          <w:sz w:val="24"/>
          <w:szCs w:val="24"/>
        </w:rPr>
      </w:pPr>
      <w:r>
        <w:rPr>
          <w:b/>
          <w:sz w:val="24"/>
          <w:szCs w:val="24"/>
        </w:rPr>
        <w:t>Geographic Distribution</w:t>
      </w:r>
    </w:p>
    <w:tbl>
      <w:tblPr>
        <w:tblW w:w="0" w:type="auto"/>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firstRow="1" w:lastRow="1" w:firstColumn="1" w:lastColumn="1" w:noHBand="0" w:noVBand="0" w:val="01E0"/>
      </w:tblPr>
      <w:tblGrid>
        <w:gridCol w:w="3654"/>
        <w:gridCol w:w="5807"/>
      </w:tblGrid>
      <w:tr>
        <w:trPr>
          <w:cantSplit/>
          <w:tblHeader/>
        </w:trPr>
        <w:tc>
          <w:tcPr>
            <w:tcW w:w="0" w:type="auto"/>
          </w:tcPr>
          <w:p>
            <w:pPr>
              <w:keepNext/>
              <w:widowControl w:val="false"/>
              <w:spacing w:after="0" w:line="240" w:lineRule="auto"/>
              <w:jc w:val="center"/>
              <w:rPr>
                <w:b/>
                <w:szCs w:val="24"/>
              </w:rPr>
            </w:pPr>
            <w:r>
              <w:rPr>
                <w:b/>
              </w:rPr>
              <w:t>Target Area</w:t>
            </w:r>
          </w:p>
        </w:tc>
        <w:tc>
          <w:tcPr>
            <w:tcW w:w="0" w:type="auto"/>
          </w:tcPr>
          <w:p>
            <w:pPr>
              <w:keepNext/>
              <w:widowControl w:val="false"/>
              <w:spacing w:after="0" w:line="240" w:lineRule="auto"/>
              <w:jc w:val="center"/>
              <w:rPr>
                <w:b/>
                <w:szCs w:val="24"/>
              </w:rPr>
            </w:pPr>
            <w:r>
              <w:rPr>
                <w:b/>
              </w:rPr>
              <w:t>Percentage of Funds</w:t>
            </w:r>
          </w:p>
        </w:tc>
      </w:tr>
      <w:tr>
        <w:trPr>
          <w:cantSplit w:val="true"/>
        </w:trPr>
        <w:tc>
          <w:tcPr>
            <w:vAlign w:val="top"/>
          </w:tcPr>
          <w:p>
            <w:pPr>
              <w:spacing w:beforeAutospacing="true" w:afterAutospacing="true"/>
              <w:jc w:val="left"/>
            </w:pPr>
            <w:r>
              <w:rPr>
                <w:rFonts w:ascii="Calibri" w:hAnsi="Calibri"/>
                <w:color w:val="000000"/>
                <w:sz w:val="22"/>
              </w:rPr>
              <w:t xml:space="preserve">Salt Lake County</w:t>
            </w:r>
          </w:p>
        </w:tc>
        <w:tc>
          <w:tcPr>
            <w:vAlign w:val="bottom"/>
          </w:tcPr>
          <w:p>
            <w:pPr>
              <w:spacing w:beforeAutospacing="true" w:afterAutospacing="true"/>
              <w:jc w:val="right"/>
            </w:pPr>
            <w:r>
              <w:rPr>
                <w:rFonts w:ascii="Calibri" w:hAnsi="Calibri"/>
                <w:color w:val="000000"/>
                <w:sz w:val="22"/>
              </w:rPr>
              <w:t xml:space="preserve">75</w:t>
            </w:r>
          </w:p>
        </w:tc>
      </w:tr>
    </w:tbl>
    <w:p>
      <w:pPr>
        <w:pStyle w:val="Caption"/>
        <w:rPr>
          <w:rFonts w:asciiTheme="minorHAnsi" w:hAnsiTheme="minorHAnsi"/>
        </w:rPr>
      </w:pPr>
      <w:r>
        <w:rPr>
          <w:rFonts w:asciiTheme="minorHAnsi" w:hAnsiTheme="minorHAnsi"/>
        </w:rPr>
        <w:t xml:space="preserve">Table </w:t>
        <w:fldChar w:fldCharType="begin"/>
        <w:instrText xml:space="preserve"> SEQ Table \* ARABIC </w:instrText>
        <w:fldChar w:fldCharType="separate"/>
        <w:t>27</w:t>
        <w:fldChar w:fldCharType="end"/>
        <w:t xml:space="preserve"> - Geographic Distribution </w:t>
      </w:r>
    </w:p>
    <w:p>
      <w:pPr>
        <w:spacing w:after="0" w:line="240" w:lineRule="auto"/>
        <w:rPr>
          <w:b/>
          <w:sz w:val="24"/>
          <w:szCs w:val="24"/>
        </w:rPr>
      </w:pPr>
    </w:p>
    <w:p>
      <w:pPr>
        <w:keepNext/>
        <w:widowControl w:val="false"/>
        <w:rPr>
          <w:b/>
          <w:sz w:val="24"/>
          <w:szCs w:val="24"/>
        </w:rPr>
      </w:pPr>
      <w:r>
        <w:rPr>
          <w:b/>
          <w:sz w:val="24"/>
          <w:szCs w:val="24"/>
        </w:rPr>
        <w:t xml:space="preserve">Rationale for the priorities for allocating investments geographically </w:t>
      </w:r>
    </w:p>
    <w:p>
      <w:pPr>
        <w:keepNext/>
        <w:widowControl w:val="false"/>
        <w:spacing w:beforeAutospacing="true" w:afterAutospacing="true"/>
        <w:rPr>
          <w:rFonts w:cs="Arial"/>
          <w:szCs w:val="24"/>
        </w:rPr>
      </w:pPr>
      <w:r>
        <w:rPr>
          <w:rFonts w:cs="Arial"/>
          <w:b/>
        </w:rPr>
        <w:t xml:space="preserve">Eligible Areas</w:t>
      </w:r>
    </w:p>
    <w:p>
      <w:pPr>
        <w:keepNext/>
        <w:widowControl w:val="false"/>
        <w:spacing w:beforeAutospacing="true" w:afterAutospacing="true"/>
        <w:rPr>
          <w:rFonts w:cs="Arial"/>
          <w:szCs w:val="24"/>
        </w:rPr>
      </w:pPr>
      <w:r>
        <w:rPr>
          <w:rFonts w:cs="Arial"/>
        </w:rPr>
        <w:t xml:space="preserve">-Salt Lake County HOME Consortium includes all of Salt Lake County except for Salt Lake City.  The Salt Lake County Consortium consists of the Salt Lake County Urban County and the cities of West Jordan, West Valley City, Sandy, Taylorsville, and South Jordan.  </w:t>
      </w:r>
    </w:p>
    <w:p>
      <w:pPr>
        <w:numPr>
          <w:ilvl w:val="0"/>
          <w:numId w:val="23"/>
        </w:numPr>
        <w:spacing w:beforeAutospacing="true" w:afterAutospacing="true"/>
      </w:pPr>
      <w:r>
        <w:rPr>
          <w:rFonts w:cs="Arial"/>
        </w:rPr>
        <w:t xml:space="preserve">The following activities funded with Salt Lake County Consortium HOME funds will be located in Salt Lake County except for Salt Lake City</w:t>
      </w:r>
      <w:r>
        <w:rPr>
          <w:rFonts w:cs="Arial"/>
        </w:rPr>
        <w:t xml:space="preserve">Housing rehabilitation</w:t>
      </w:r>
      <w:r>
        <w:rPr>
          <w:rFonts w:cs="Arial"/>
        </w:rPr>
        <w:t xml:space="preserve">Downpayment assistance</w:t>
      </w:r>
    </w:p>
    <w:p>
      <w:pPr>
        <w:numPr>
          <w:ilvl w:val="0"/>
          <w:numId w:val="23"/>
        </w:numPr>
        <w:spacing w:beforeAutospacing="true" w:afterAutospacing="true"/>
      </w:pPr>
      <w:r>
        <w:rPr>
          <w:rFonts w:cs="Arial"/>
        </w:rPr>
        <w:t xml:space="preserve">The following activities funded with Salt Lake County Consortium HOME Funds can be located anywhere in Salt Lake County</w:t>
      </w:r>
      <w:r>
        <w:rPr>
          <w:rFonts w:cs="Arial"/>
        </w:rPr>
        <w:t xml:space="preserve">Rental housing new construction and preservation. A project located in Salt Lake City if it shows a county wide benefit and if Salt Lake City is providing part of the funding.</w:t>
      </w:r>
      <w:r>
        <w:rPr>
          <w:rFonts w:cs="Arial"/>
        </w:rPr>
        <w:t xml:space="preserve">Tenant based rental assistance can be provided county wide if it is homeless</w:t>
      </w:r>
    </w:p>
    <w:p>
      <w:pPr>
        <w:keepNext/>
        <w:widowControl w:val="false"/>
        <w:spacing w:beforeAutospacing="true" w:afterAutospacing="true"/>
        <w:rPr>
          <w:rFonts w:cs="Arial"/>
          <w:szCs w:val="24"/>
        </w:rPr>
      </w:pPr>
      <w:r>
        <w:rPr>
          <w:rFonts w:cs="Arial"/>
        </w:rPr>
        <w:t xml:space="preserve">-For CDBG the Salt Lake Urban County includes Unincorporated Salt Lake County, Alta, Bluffdale, Copperton Metro Township, Cottonwood eights, Draper, Emigration Metro Tokr wnship, Herriman, Holladay, Kearns Metro Township, Magna Metro Township, Midvale, Millcreek, Riverton, South Salt Lake, and White City Metro Township.</w:t>
      </w:r>
    </w:p>
    <w:p>
      <w:pPr>
        <w:keepNext/>
        <w:widowControl w:val="false"/>
        <w:spacing w:beforeAutospacing="true" w:afterAutospacing="true"/>
        <w:rPr>
          <w:rFonts w:cs="Arial"/>
          <w:szCs w:val="24"/>
        </w:rPr>
      </w:pPr>
      <w:r>
        <w:rPr>
          <w:rFonts w:cs="Arial"/>
        </w:rPr>
        <w:t xml:space="preserve">-</w:t>
      </w:r>
      <w:r>
        <w:rPr>
          <w:rFonts w:cs="Arial"/>
          <w:b/>
        </w:rPr>
        <w:t xml:space="preserve">Location of greatest need:</w:t>
      </w:r>
    </w:p>
    <w:p>
      <w:pPr>
        <w:keepNext/>
        <w:widowControl w:val="false"/>
        <w:spacing w:beforeAutospacing="true" w:afterAutospacing="true"/>
        <w:rPr>
          <w:rFonts w:cs="Arial"/>
          <w:szCs w:val="24"/>
        </w:rPr>
      </w:pPr>
      <w:r>
        <w:rPr>
          <w:rFonts w:cs="Arial"/>
        </w:rPr>
        <w:t xml:space="preserve">Greatest need geographic areas in Salt Lake County are illustrated in the Low Opportunity Zones and Opportunity Zones maps.</w:t>
      </w:r>
    </w:p>
    <w:p>
      <w:pPr>
        <w:keepNext/>
        <w:widowControl w:val="false"/>
        <w:spacing w:beforeAutospacing="true" w:afterAutospacing="true"/>
        <w:rPr>
          <w:rFonts w:cs="Arial"/>
          <w:szCs w:val="24"/>
        </w:rPr>
      </w:pPr>
      <w:r>
        <w:rPr>
          <w:rFonts w:cs="Arial"/>
          <w:b/>
        </w:rPr>
        <w:t xml:space="preserve">-Input received </w:t>
      </w:r>
    </w:p>
    <w:p>
      <w:pPr>
        <w:keepNext/>
        <w:widowControl w:val="false"/>
        <w:spacing w:beforeAutospacing="true" w:afterAutospacing="true"/>
        <w:rPr>
          <w:rFonts w:cs="Arial"/>
          <w:szCs w:val="24"/>
        </w:rPr>
      </w:pPr>
      <w:r>
        <w:rPr>
          <w:rFonts w:cs="Arial"/>
          <w:u w:val="single"/>
        </w:rPr>
        <w:t xml:space="preserve">The Northwest Quadrant (Kearns, Magna, Taylorsville, West Valley)</w:t>
      </w:r>
      <w:r>
        <w:rPr>
          <w:rFonts w:cs="Arial"/>
        </w:rPr>
        <w:t xml:space="preserve"> indicated that neighborhood revitalization is the top need.  This included home repairs and energy efficiency improvements.  Also, neighborhood improvements to improve safety were important to those communities.</w:t>
      </w:r>
    </w:p>
    <w:p>
      <w:pPr>
        <w:keepNext/>
        <w:widowControl w:val="false"/>
        <w:spacing w:beforeAutospacing="true" w:afterAutospacing="true"/>
        <w:rPr>
          <w:rFonts w:cs="Arial"/>
          <w:szCs w:val="24"/>
        </w:rPr>
      </w:pPr>
      <w:r>
        <w:rPr>
          <w:rFonts w:cs="Arial"/>
          <w:u w:val="single"/>
        </w:rPr>
        <w:t xml:space="preserve">The Northeast Quadrant (Emigration, Holladay, Millcreek, South Salt Lake</w:t>
      </w:r>
      <w:r>
        <w:rPr>
          <w:rFonts w:cs="Arial"/>
        </w:rPr>
        <w:t xml:space="preserve">) data shows that housing services were most needed.  This includes more affordable housing, rental assistance, home ownership assistance and preserving existing affordable housing.</w:t>
      </w:r>
    </w:p>
    <w:p>
      <w:pPr>
        <w:keepNext/>
        <w:widowControl w:val="false"/>
        <w:spacing w:beforeAutospacing="true" w:afterAutospacing="true"/>
        <w:rPr>
          <w:rFonts w:cs="Arial"/>
          <w:szCs w:val="24"/>
        </w:rPr>
      </w:pPr>
    </w:p>
    <w:p>
      <w:pPr>
        <w:keepNext/>
        <w:widowControl w:val="false"/>
        <w:spacing w:line="204" w:lineRule="auto"/>
        <w:rPr>
          <w:b/>
          <w:sz w:val="24"/>
          <w:szCs w:val="24"/>
        </w:rPr>
      </w:pPr>
      <w:r>
        <w:rPr>
          <w:b/>
          <w:sz w:val="24"/>
          <w:szCs w:val="24"/>
        </w:rPr>
        <w:t>Discussion</w:t>
      </w:r>
    </w:p>
    <w:p>
      <w:pPr>
        <w:keepNext/>
        <w:widowControl w:val="false"/>
        <w:spacing w:beforeAutospacing="true" w:afterAutospacing="true"/>
        <w:rPr>
          <w:b/>
          <w:sz w:val="24"/>
          <w:szCs w:val="24"/>
        </w:rPr>
      </w:pPr>
      <w:r>
        <w:rPr>
          <w:rFonts w:cs="Arial"/>
        </w:rPr>
        <w:t xml:space="preserve">ESG: </w:t>
      </w:r>
      <w:r>
        <w:rPr>
          <w:rFonts w:cs="Arial"/>
          <w:b/>
        </w:rPr>
        <w:t xml:space="preserve">Outside Urban County -  Eligibility based on Low/Mod Limited Clientele - 570.208(a)(2) -</w:t>
      </w:r>
      <w:r>
        <w:rPr>
          <w:rFonts w:cs="Arial"/>
        </w:rPr>
        <w:t xml:space="preserve">The percentage of funds requested cannot exceed the percentage of clients that live in the eligible “Urban County”. *Maximum amount eligible to be funded based on pro-rata of LMI clients to be served.</w:t>
      </w:r>
    </w:p>
    <w:p>
      <w:pPr>
        <w:keepNext/>
        <w:widowControl w:val="false"/>
        <w:spacing w:beforeAutospacing="true" w:afterAutospacing="true"/>
        <w:rPr>
          <w:b/>
          <w:sz w:val="24"/>
          <w:szCs w:val="24"/>
        </w:rPr>
      </w:pPr>
      <w:r>
        <w:rPr>
          <w:rFonts w:cs="Arial"/>
          <w:b/>
          <w:u w:val="single"/>
        </w:rPr>
        <w:t xml:space="preserve">CDBG-PS-  Funding 6 Agencies </w:t>
      </w:r>
      <w:r>
        <w:rPr>
          <w:rFonts w:cs="Arial"/>
          <w:b/>
        </w:rPr>
        <w:t xml:space="preserve">Outside Urban County -  Eligibility based on Low/Mod Limited Clientele - 570.208(a)(2) -</w:t>
      </w:r>
      <w:r>
        <w:rPr>
          <w:rFonts w:cs="Arial"/>
        </w:rPr>
        <w:t xml:space="preserve">The percentage of funds requested cannot exceed the percentage of clients that live in the eligible “Urban County”. *Maximum amount eligible to be funded based on pro-rata of LMI clients to be served.</w:t>
      </w:r>
    </w:p>
    <w:p>
      <w:pPr>
        <w:keepNext/>
        <w:widowControl w:val="false"/>
        <w:spacing w:beforeAutospacing="true" w:afterAutospacing="true"/>
        <w:rPr>
          <w:b/>
          <w:sz w:val="24"/>
          <w:szCs w:val="24"/>
        </w:rPr>
      </w:pPr>
      <w:r>
        <w:rPr>
          <w:rFonts w:cs="Arial"/>
        </w:rPr>
        <w:t xml:space="preserve">Salt Lake City</w:t>
      </w:r>
      <w:r>
        <w:rPr>
          <w:rFonts w:cs="Arial"/>
          <w:b/>
        </w:rPr>
        <w:t xml:space="preserve">- Columbus Foundation, Inc</w:t>
      </w:r>
      <w:r>
        <w:rPr>
          <w:rFonts w:cs="Arial"/>
        </w:rPr>
        <w:t xml:space="preserve">.- Community Employment Program</w:t>
      </w:r>
    </w:p>
    <w:p>
      <w:pPr>
        <w:keepNext/>
        <w:widowControl w:val="false"/>
        <w:spacing w:beforeAutospacing="true" w:afterAutospacing="true"/>
        <w:rPr>
          <w:b/>
          <w:sz w:val="24"/>
          <w:szCs w:val="24"/>
        </w:rPr>
      </w:pPr>
      <w:r>
        <w:rPr>
          <w:rFonts w:cs="Arial"/>
        </w:rPr>
        <w:t xml:space="preserve">Salt Lake City</w:t>
      </w:r>
      <w:r>
        <w:rPr>
          <w:rFonts w:cs="Arial"/>
          <w:b/>
        </w:rPr>
        <w:t xml:space="preserve">-</w:t>
      </w:r>
      <w:r>
        <w:rPr>
          <w:rFonts w:cs="Arial"/>
          <w:b/>
        </w:rPr>
        <w:t xml:space="preserve"> First Step House</w:t>
      </w:r>
      <w:r>
        <w:rPr>
          <w:rFonts w:cs="Arial"/>
        </w:rPr>
        <w:t xml:space="preserve"> - First Step House Housing Case Management Program</w:t>
      </w:r>
    </w:p>
    <w:p>
      <w:pPr>
        <w:keepNext/>
        <w:widowControl w:val="false"/>
        <w:spacing w:beforeAutospacing="true" w:afterAutospacing="true"/>
        <w:rPr>
          <w:b/>
          <w:sz w:val="24"/>
          <w:szCs w:val="24"/>
        </w:rPr>
      </w:pPr>
      <w:r>
        <w:rPr>
          <w:rFonts w:cs="Arial"/>
        </w:rPr>
        <w:t xml:space="preserve">Salt Lake City- </w:t>
      </w:r>
      <w:r>
        <w:rPr>
          <w:rFonts w:cs="Arial"/>
          <w:b/>
        </w:rPr>
        <w:t xml:space="preserve">International Rescue Committee Scaling SPICE</w:t>
      </w:r>
      <w:r>
        <w:rPr>
          <w:rFonts w:cs="Arial"/>
        </w:rPr>
        <w:t xml:space="preserve">: Leveraging a new, expanded facility to increase support for diverse food entrepreneurs in SLC</w:t>
      </w:r>
    </w:p>
    <w:p>
      <w:pPr>
        <w:keepNext/>
        <w:widowControl w:val="false"/>
        <w:spacing w:beforeAutospacing="true" w:afterAutospacing="true"/>
        <w:rPr>
          <w:b/>
          <w:sz w:val="24"/>
          <w:szCs w:val="24"/>
        </w:rPr>
      </w:pPr>
      <w:r>
        <w:rPr>
          <w:rFonts w:cs="Arial"/>
        </w:rPr>
        <w:t xml:space="preserve">Salt Lake City- </w:t>
      </w:r>
      <w:r>
        <w:rPr>
          <w:rFonts w:cs="Arial"/>
          <w:b/>
        </w:rPr>
        <w:t xml:space="preserve">Rape Recovery Center- </w:t>
      </w:r>
      <w:r>
        <w:rPr>
          <w:rFonts w:cs="Arial"/>
        </w:rPr>
        <w:t xml:space="preserve">Stabilization Healing Services for Survivors of Sexual Violence</w:t>
      </w:r>
    </w:p>
    <w:p>
      <w:pPr>
        <w:keepNext/>
        <w:widowControl w:val="false"/>
        <w:spacing w:beforeAutospacing="true" w:afterAutospacing="true"/>
        <w:rPr>
          <w:b/>
          <w:sz w:val="24"/>
          <w:szCs w:val="24"/>
        </w:rPr>
      </w:pPr>
      <w:r>
        <w:rPr>
          <w:rFonts w:cs="Arial"/>
        </w:rPr>
        <w:t xml:space="preserve">South Jordan - - DV Homeless Shelter and Stabilization Services</w:t>
      </w:r>
    </w:p>
    <w:p>
      <w:pPr>
        <w:keepNext/>
        <w:widowControl w:val="false"/>
        <w:spacing w:beforeAutospacing="true" w:afterAutospacing="true"/>
        <w:rPr>
          <w:b/>
          <w:sz w:val="24"/>
          <w:szCs w:val="24"/>
        </w:rPr>
      </w:pPr>
      <w:r>
        <w:rPr>
          <w:rFonts w:cs="Arial"/>
        </w:rPr>
        <w:t xml:space="preserve">Salt Lake City- </w:t>
      </w:r>
      <w:r>
        <w:rPr>
          <w:rFonts w:cs="Arial"/>
          <w:b/>
        </w:rPr>
        <w:t xml:space="preserve">The INN Between-</w:t>
      </w:r>
      <w:r>
        <w:rPr>
          <w:rFonts w:cs="Arial"/>
        </w:rPr>
        <w:t xml:space="preserve"> The INN Between, Temporary Housing for Terminally Ill and Medically Frail Homeless (Operations)</w:t>
      </w:r>
    </w:p>
    <w:p>
      <w:pPr>
        <w:keepNext/>
        <w:widowControl w:val="false"/>
        <w:spacing w:beforeAutospacing="true" w:afterAutospacing="true"/>
        <w:rPr>
          <w:b/>
          <w:sz w:val="24"/>
          <w:szCs w:val="24"/>
        </w:rPr>
      </w:pPr>
      <w:r>
        <w:rPr>
          <w:rFonts w:cs="Arial"/>
        </w:rPr>
        <w:t xml:space="preserve"> </w:t>
      </w:r>
    </w:p>
    <w:p>
      <w:pPr>
        <w:keepNext/>
        <w:widowControl w:val="false"/>
        <w:spacing w:beforeAutospacing="true" w:afterAutospacing="true"/>
        <w:rPr>
          <w:b/>
          <w:sz w:val="24"/>
          <w:szCs w:val="24"/>
        </w:rPr>
      </w:pPr>
      <w:r>
        <w:rPr>
          <w:rFonts w:cs="Arial"/>
          <w:b/>
        </w:rPr>
        <w:t xml:space="preserve">Housing-Homeownership Programs and Housing-Rehab &amp; Accessibility Programs</w:t>
      </w:r>
      <w:r>
        <w:rPr>
          <w:rFonts w:cs="Arial"/>
        </w:rPr>
        <w:t xml:space="preserve"> that will be funded with CDBG are </w:t>
      </w:r>
      <w:r>
        <w:rPr>
          <w:rFonts w:cs="Arial"/>
          <w:b/>
          <w:u w:val="single"/>
        </w:rPr>
        <w:t xml:space="preserve">available Urban County Wide</w:t>
      </w:r>
      <w:r>
        <w:rPr>
          <w:rFonts w:cs="Arial"/>
        </w:rPr>
        <w:t xml:space="preserve">.   </w:t>
      </w:r>
      <w:r>
        <w:rPr>
          <w:rFonts w:cs="Arial"/>
          <w:i/>
        </w:rPr>
        <w:t xml:space="preserve">Eligibility is based on: </w:t>
      </w:r>
      <w:r>
        <w:rPr>
          <w:rFonts w:cs="Arial"/>
          <w:b/>
          <w:i/>
        </w:rPr>
        <w:t xml:space="preserve">Low/Mod Housing - 570.208(a)(3)</w:t>
      </w:r>
      <w:r>
        <w:rPr>
          <w:rFonts w:cs="Arial"/>
          <w:i/>
        </w:rPr>
        <w:t xml:space="preserve">. </w:t>
      </w:r>
    </w:p>
    <w:p>
      <w:pPr>
        <w:keepNext/>
        <w:widowControl w:val="false"/>
        <w:spacing w:beforeAutospacing="true" w:afterAutospacing="true"/>
        <w:rPr>
          <w:b/>
          <w:sz w:val="24"/>
          <w:szCs w:val="24"/>
        </w:rPr>
      </w:pPr>
      <w:r>
        <w:rPr>
          <w:rFonts w:cs="Arial"/>
          <w:i/>
          <w:u w:val="single"/>
        </w:rPr>
        <w:t xml:space="preserve">We will be funding 3 agencies: </w:t>
      </w:r>
    </w:p>
    <w:p>
      <w:pPr>
        <w:keepNext/>
        <w:widowControl w:val="false"/>
        <w:spacing w:beforeAutospacing="true" w:afterAutospacing="true"/>
        <w:rPr>
          <w:b/>
          <w:sz w:val="24"/>
          <w:szCs w:val="24"/>
        </w:rPr>
      </w:pPr>
      <w:r>
        <w:rPr>
          <w:rFonts w:cs="Arial"/>
          <w:i/>
        </w:rPr>
        <w:t xml:space="preserve">CDCU- DPA, </w:t>
      </w:r>
    </w:p>
    <w:p>
      <w:pPr>
        <w:keepNext/>
        <w:widowControl w:val="false"/>
        <w:spacing w:beforeAutospacing="true" w:afterAutospacing="true"/>
        <w:rPr>
          <w:b/>
          <w:sz w:val="24"/>
          <w:szCs w:val="24"/>
        </w:rPr>
      </w:pPr>
      <w:r>
        <w:rPr>
          <w:rFonts w:cs="Arial"/>
          <w:i/>
        </w:rPr>
        <w:t xml:space="preserve">IRC- DPA, </w:t>
      </w:r>
    </w:p>
    <w:p>
      <w:pPr>
        <w:keepNext/>
        <w:widowControl w:val="false"/>
        <w:spacing w:beforeAutospacing="true" w:afterAutospacing="true"/>
        <w:rPr>
          <w:b/>
          <w:sz w:val="24"/>
          <w:szCs w:val="24"/>
        </w:rPr>
      </w:pPr>
      <w:r>
        <w:rPr>
          <w:rFonts w:cs="Arial"/>
          <w:i/>
        </w:rPr>
        <w:t xml:space="preserve">Assist, Utah. </w:t>
      </w:r>
    </w:p>
    <w:p>
      <w:pPr>
        <w:keepNext/>
        <w:widowControl w:val="false"/>
        <w:spacing w:beforeAutospacing="true" w:afterAutospacing="true"/>
        <w:rPr>
          <w:b/>
          <w:sz w:val="24"/>
          <w:szCs w:val="24"/>
        </w:rPr>
      </w:pPr>
      <w:r>
        <w:rPr>
          <w:rFonts w:cs="Arial"/>
        </w:rPr>
        <w:t xml:space="preserve"> </w:t>
      </w:r>
    </w:p>
    <w:p>
      <w:pPr>
        <w:keepNext/>
        <w:widowControl w:val="false"/>
        <w:spacing w:beforeAutospacing="true" w:afterAutospacing="true"/>
        <w:rPr>
          <w:b/>
          <w:sz w:val="24"/>
          <w:szCs w:val="24"/>
        </w:rPr>
      </w:pPr>
      <w:r>
        <w:rPr>
          <w:rFonts w:cs="Arial"/>
          <w:b/>
        </w:rPr>
        <w:t xml:space="preserve">Infrastructure Improvements and Facility Improvement Projects</w:t>
      </w:r>
      <w:r>
        <w:rPr>
          <w:rFonts w:cs="Arial"/>
        </w:rPr>
        <w:t xml:space="preserve"> </w:t>
      </w:r>
      <w:r>
        <w:rPr>
          <w:rFonts w:cs="Arial"/>
          <w:i/>
        </w:rPr>
        <w:t xml:space="preserve">Eligibility based on Low- and Moderate-Income (Low/Mod</w:t>
      </w:r>
      <w:r>
        <w:rPr>
          <w:rFonts w:cs="Arial"/>
          <w:i/>
          <w:u w:val="single"/>
        </w:rPr>
        <w:t xml:space="preserve">) </w:t>
      </w:r>
      <w:r>
        <w:rPr>
          <w:rFonts w:cs="Arial"/>
          <w:b/>
          <w:i/>
          <w:u w:val="single"/>
        </w:rPr>
        <w:t xml:space="preserve">Area Benefit</w:t>
      </w:r>
      <w:r>
        <w:rPr>
          <w:rFonts w:cs="Arial"/>
          <w:i/>
        </w:rPr>
        <w:t xml:space="preserve"> - 572.208(a)(1) -</w:t>
      </w:r>
    </w:p>
    <w:p>
      <w:pPr>
        <w:keepNext/>
        <w:widowControl w:val="false"/>
        <w:spacing w:beforeAutospacing="true" w:afterAutospacing="true"/>
        <w:rPr>
          <w:b/>
          <w:sz w:val="24"/>
          <w:szCs w:val="24"/>
        </w:rPr>
      </w:pPr>
      <w:r>
        <w:rPr>
          <w:rFonts w:cs="Arial"/>
          <w:i/>
          <w:u w:val="single"/>
        </w:rPr>
        <w:t xml:space="preserve">We will be funding 4 projects.</w:t>
      </w:r>
    </w:p>
    <w:p>
      <w:pPr>
        <w:keepNext/>
        <w:widowControl w:val="false"/>
        <w:spacing w:beforeAutospacing="true" w:afterAutospacing="true"/>
        <w:rPr>
          <w:b/>
          <w:sz w:val="24"/>
          <w:szCs w:val="24"/>
        </w:rPr>
      </w:pPr>
      <w:r>
        <w:rPr>
          <w:rFonts w:cs="Arial"/>
        </w:rPr>
        <w:t xml:space="preserve">City of South Salt Lake-Main Street TOD Lighting</w:t>
      </w:r>
    </w:p>
    <w:p>
      <w:pPr>
        <w:keepNext/>
        <w:widowControl w:val="false"/>
        <w:spacing w:beforeAutospacing="true" w:afterAutospacing="true"/>
        <w:rPr>
          <w:b/>
          <w:sz w:val="24"/>
          <w:szCs w:val="24"/>
        </w:rPr>
      </w:pPr>
      <w:r>
        <w:rPr>
          <w:rFonts w:cs="Arial"/>
        </w:rPr>
        <w:t xml:space="preserve">Greater Salt Lake Municipal Services District -Magna Downtown Revitalization</w:t>
      </w:r>
    </w:p>
    <w:p>
      <w:pPr>
        <w:keepNext/>
        <w:widowControl w:val="false"/>
        <w:spacing w:beforeAutospacing="true" w:afterAutospacing="true"/>
        <w:rPr>
          <w:b/>
          <w:sz w:val="24"/>
          <w:szCs w:val="24"/>
        </w:rPr>
      </w:pPr>
      <w:r>
        <w:rPr>
          <w:rFonts w:cs="Arial"/>
        </w:rPr>
        <w:t xml:space="preserve">Guadalupe Center Educational Programs Inc.-Guadalupe School Health and Safety improvements</w:t>
      </w:r>
    </w:p>
    <w:p>
      <w:pPr>
        <w:rPr>
          <w:rFonts w:cs="Arial"/>
        </w:rPr>
      </w:pPr>
    </w:p>
    <w:p>
      <w:pPr>
        <w:pStyle w:val="Heading1"/>
        <w:pageBreakBefore/>
        <w:jc w:val="center"/>
        <w:rPr>
          <w:rFonts w:ascii="Calibri" w:hAnsi="Calibri"/>
          <w:color w:val="auto"/>
          <w:sz w:val="32"/>
          <w:szCs w:val="32"/>
        </w:rPr>
      </w:pPr>
      <w:r>
        <w:rPr>
          <w:rFonts w:ascii="Calibri" w:hAnsi="Calibri"/>
          <w:color w:val="auto"/>
          <w:sz w:val="32"/>
          <w:szCs w:val="32"/>
        </w:rPr>
      </w:r>
    </w:p>
    <w:p>
      <w:pPr>
        <w:pStyle w:val="Heading2"/>
        <w:widowControl w:val="false"/>
        <w:rPr>
          <w:rFonts w:ascii="Calibri" w:hAnsi="Calibri"/>
          <w:i w:val="false"/>
        </w:rPr>
      </w:pPr>
      <w:r>
        <w:rPr>
          <w:rFonts w:ascii="Calibri" w:hAnsi="Calibri"/>
          <w:i w:val="false"/>
        </w:rPr>
        <w:t xml:space="preserve">AP-65 Homeless and Other Special Needs Activities - 91.420, 91.220(i) </w:t>
      </w:r>
      <w:r>
        <w:rPr>
          <w:rFonts w:ascii="Calibri" w:hAnsi="Calibri"/>
        </w:rPr>
      </w:r>
    </w:p>
    <w:p>
      <w:pPr>
        <w:keepNext/>
        <w:widowControl w:val="false"/>
        <w:spacing w:line="204" w:lineRule="auto"/>
        <w:rPr>
          <w:b/>
          <w:sz w:val="24"/>
          <w:szCs w:val="24"/>
        </w:rPr>
      </w:pPr>
      <w:r>
        <w:rPr>
          <w:b/>
          <w:sz w:val="24"/>
          <w:szCs w:val="24"/>
        </w:rPr>
        <w:t xml:space="preserve">Introduction </w:t>
      </w:r>
      <w:r>
        <w:rPr>
          <w:b/>
          <w:i/>
          <w:sz w:val="24"/>
          <w:szCs w:val="24"/>
        </w:rPr>
      </w:r>
    </w:p>
    <w:p>
      <w:pPr>
        <w:keepNext/>
        <w:widowControl w:val="false"/>
        <w:spacing w:line="204" w:lineRule="auto"/>
        <w:rPr>
          <w:b/>
          <w:sz w:val="24"/>
          <w:szCs w:val="24"/>
        </w:rPr>
      </w:pPr>
      <w:r>
        <w:t xml:space="preserve"> </w:t>
      </w:r>
    </w:p>
    <w:p>
      <w:pPr>
        <w:keepNext/>
        <w:widowControl w:val="false"/>
        <w:spacing w:beforeAutospacing="true" w:afterAutospacing="true"/>
        <w:rPr>
          <w:b/>
          <w:sz w:val="24"/>
          <w:szCs w:val="24"/>
        </w:rPr>
      </w:pPr>
      <w:r>
        <w:rPr>
          <w:rFonts w:cs="Arial"/>
        </w:rPr>
        <w:t xml:space="preserve">The Salt Lake County Homeless Service Delivery System has undergone significant changes in the last 2-3 years.  The focus is to make homeless ness, rare, brief and non-recurring.  Added to this plan is the aspect of diversion which is to intercede with a family and individual before they become homeless which may include stabilizing them in their current housing situation, finding a new housing situation and offering supportive services to help maintain current housing.  In order to focus efforts on particular population needs, the downtown shelter which used to house 1,100 people a night which included single men, single women, couples and families was closed.  IN its place, three new homeless resources centers were established; one for men only, one for single men, and the third for single men and women.  These three new resource centers complement the existing youth, families and domestic violence, and medical frail shelters.   Making this all work is the close coordination between Salt Lake Valley Coalition to End Homeless, the Utah State Homeless Coordinating Committee, Salt Lake City and local homeless housing and service providers.</w:t>
      </w:r>
    </w:p>
    <w:p>
      <w:pPr>
        <w:keepNext/>
        <w:widowControl w:val="false"/>
        <w:spacing w:beforeAutospacing="true" w:afterAutospacing="true"/>
        <w:rPr>
          <w:b/>
          <w:sz w:val="24"/>
          <w:szCs w:val="24"/>
        </w:rPr>
      </w:pPr>
    </w:p>
    <w:p>
      <w:pPr>
        <w:keepNext/>
        <w:widowControl w:val="false"/>
        <w:rPr>
          <w:b/>
          <w:sz w:val="24"/>
          <w:szCs w:val="24"/>
        </w:rPr>
      </w:pPr>
      <w:r>
        <w:rPr>
          <w:b/>
          <w:sz w:val="24"/>
          <w:szCs w:val="24"/>
        </w:rPr>
        <w:t>Describe the jurisdictions one-year goals and actions for reducing and ending homelessness including</w:t>
      </w:r>
      <w:r>
        <w:rPr>
          <w:b/>
          <w:i/>
          <w:sz w:val="24"/>
          <w:szCs w:val="24"/>
        </w:rPr>
      </w:r>
    </w:p>
    <w:p>
      <w:pPr>
        <w:keepNext/>
        <w:widowControl w:val="false"/>
        <w:rPr>
          <w:b/>
          <w:sz w:val="24"/>
          <w:szCs w:val="24"/>
        </w:rPr>
      </w:pPr>
      <w:r>
        <w:rPr>
          <w:b/>
          <w:sz w:val="24"/>
          <w:szCs w:val="24"/>
        </w:rPr>
        <w:t>Reaching out to homeless persons (especially unsheltered persons) and assessing their individual needs</w:t>
      </w:r>
      <w:r>
        <w:rPr>
          <w:b/>
          <w:i/>
          <w:sz w:val="24"/>
          <w:szCs w:val="24"/>
        </w:rPr>
      </w:r>
    </w:p>
    <w:p>
      <w:pPr>
        <w:keepNext/>
        <w:widowControl w:val="false"/>
        <w:spacing w:beforeAutospacing="true" w:afterAutospacing="true"/>
        <w:rPr>
          <w:rFonts w:cs="Arial"/>
        </w:rPr>
      </w:pPr>
      <w:r>
        <w:rPr>
          <w:rFonts w:cs="Arial"/>
        </w:rPr>
        <w:t xml:space="preserve">When the point in time (PIT) count for 2019 was taken the were 193 person who identified as unsheltered.  This approximately 1% of the total number of homeless counted that night.  One of the core function groups of the Salt Lake Valley coalition to end Homelessness is the Client Focus.  These groups made up of a variety of stakeholders within the community continue to search for and implement ways to engage the homeless int services.  There are four outreach teams organized in Salt Lake County.  They include: </w:t>
      </w:r>
    </w:p>
    <w:p>
      <w:pPr>
        <w:numPr>
          <w:ilvl w:val="0"/>
          <w:numId w:val="24"/>
        </w:numPr>
        <w:spacing w:beforeAutospacing="true" w:afterAutospacing="true"/>
      </w:pPr>
      <w:r>
        <w:rPr>
          <w:rFonts w:cs="Arial"/>
        </w:rPr>
        <w:t xml:space="preserve">The Homeless Outreach team which provides basis survival items.  Once a contact is established, the outreach staff will refer and engage the homeless individual to agencies in the community.</w:t>
      </w:r>
    </w:p>
    <w:p>
      <w:pPr>
        <w:numPr>
          <w:ilvl w:val="0"/>
          <w:numId w:val="24"/>
        </w:numPr>
        <w:spacing w:beforeAutospacing="true" w:afterAutospacing="true"/>
      </w:pPr>
      <w:r>
        <w:rPr>
          <w:rFonts w:cs="Arial"/>
        </w:rPr>
        <w:t xml:space="preserve">The medical Outreach Team brings medical assistance to individuals living on the street and provide and engages them in referrals for services and housing.</w:t>
      </w:r>
    </w:p>
    <w:p>
      <w:pPr>
        <w:numPr>
          <w:ilvl w:val="0"/>
          <w:numId w:val="24"/>
        </w:numPr>
        <w:spacing w:beforeAutospacing="true" w:afterAutospacing="true"/>
      </w:pPr>
      <w:r>
        <w:rPr>
          <w:rFonts w:cs="Arial"/>
        </w:rPr>
        <w:t xml:space="preserve">The Library Engagement Team focuses outreach to individuals who gather at the Salt Lake City Library.   They work to identify each person needs ad link them with services.</w:t>
      </w:r>
    </w:p>
    <w:p>
      <w:pPr>
        <w:numPr>
          <w:ilvl w:val="0"/>
          <w:numId w:val="24"/>
        </w:numPr>
        <w:spacing w:beforeAutospacing="true" w:afterAutospacing="true"/>
      </w:pPr>
      <w:r>
        <w:rPr>
          <w:rFonts w:cs="Arial"/>
        </w:rPr>
        <w:t xml:space="preserve">The Street Engagement Team focuses outreach to individuals who gather in the downtown area.  Each of these locations contain several homeless and unsheltered individuals.</w:t>
      </w:r>
    </w:p>
    <w:p>
      <w:pPr>
        <w:keepNext/>
        <w:widowControl w:val="false"/>
        <w:spacing w:beforeAutospacing="true" w:afterAutospacing="true"/>
        <w:rPr>
          <w:rFonts w:cs="Arial"/>
        </w:rPr>
      </w:pPr>
    </w:p>
    <w:p>
      <w:pPr>
        <w:keepNext/>
        <w:widowControl w:val="false"/>
        <w:spacing w:beforeAutospacing="true" w:afterAutospacing="true"/>
        <w:rPr>
          <w:rFonts w:cs="Arial"/>
        </w:rPr>
      </w:pPr>
    </w:p>
    <w:p>
      <w:pPr>
        <w:keepNext/>
        <w:widowControl w:val="false"/>
        <w:rPr>
          <w:b/>
          <w:sz w:val="24"/>
          <w:szCs w:val="24"/>
        </w:rPr>
      </w:pPr>
      <w:r>
        <w:rPr>
          <w:b/>
          <w:sz w:val="24"/>
          <w:szCs w:val="24"/>
        </w:rPr>
        <w:t>Addressing the emergency shelter and transitional housing needs of homeless persons</w:t>
      </w:r>
      <w:r>
        <w:rPr>
          <w:b/>
          <w:i/>
          <w:sz w:val="24"/>
          <w:szCs w:val="24"/>
        </w:rPr>
      </w:r>
    </w:p>
    <w:p>
      <w:pPr>
        <w:keepNext/>
        <w:widowControl w:val="false"/>
        <w:rPr>
          <w:rFonts w:cs="Arial"/>
        </w:rPr>
      </w:pPr>
      <w:r>
        <w:t xml:space="preserve"> </w:t>
      </w:r>
    </w:p>
    <w:p>
      <w:pPr>
        <w:keepNext/>
        <w:widowControl w:val="false"/>
        <w:spacing w:beforeAutospacing="true" w:afterAutospacing="true"/>
        <w:rPr>
          <w:rFonts w:cs="Arial"/>
        </w:rPr>
      </w:pPr>
      <w:r>
        <w:rPr>
          <w:rFonts w:cs="Arial"/>
        </w:rPr>
        <w:t xml:space="preserve">The recent advent of the COVID 19 has heightened the awareness of the at-risk populations in Salt Lake County that often have existing underlying heath conditions.  These include those who are homeless and are currently n a variety of homeless and transitional housing living situations.  These include domestic violence shelters, residential programs, for Runway/homeless youth, and those living in hotels.  Extra effort has been and will continue to be focused on these populations.  The outbreak of COVID 19 in the homeless resource centers, the County has and will continue to lease employ hotel space to increase social distancing and provide more individuals care.  Mobile testing has been made available to these homeless resources centers to check individuals who may be having symptoms of the various.  Information on tests, cases and hospitalized are helping to inform the services that are needed.  The goal is to provide safe, decent and affordable housing for this population.  Often with continuing support services to maintain their housing.  Fortunately, CARES Act funding has provided some resources to help int these areas for vulnerable populations</w:t>
      </w:r>
      <w:r>
        <w:rPr>
          <w:rFonts w:cs="Arial"/>
        </w:rPr>
        <w:t xml:space="preserve"> </w:t>
      </w:r>
    </w:p>
    <w:p>
      <w:pPr>
        <w:keepNext/>
        <w:widowControl w:val="false"/>
        <w:spacing w:beforeAutospacing="true" w:afterAutospacing="true"/>
        <w:rPr>
          <w:rFonts w:cs="Arial"/>
        </w:rPr>
      </w:pPr>
    </w:p>
    <w:p>
      <w:pPr>
        <w:keepNext/>
        <w:widowControl w:val="false"/>
        <w:rPr>
          <w:b/>
          <w:sz w:val="24"/>
          <w:szCs w:val="24"/>
        </w:rPr>
      </w:pPr>
      <w:r>
        <w:rPr>
          <w:b/>
          <w:sz w:val="24"/>
          <w:szCs w:val="24"/>
        </w:rPr>
        <w:t>Helping homeless persons (especially chronically homeless individuals and families, families with children, veterans and their families, and unaccompanied youth) make the transition to permanent housing and independent living, including shortening the period of time that individuals and families experience homelessness, facilitating access for homeless individuals and families to affordable housing units, and preventing individuals and families who were recently homeless from becoming homeless again</w:t>
      </w:r>
      <w:r>
        <w:rPr>
          <w:b/>
          <w:i/>
          <w:sz w:val="24"/>
          <w:szCs w:val="24"/>
        </w:rPr>
      </w:r>
    </w:p>
    <w:p>
      <w:pPr>
        <w:keepNext/>
        <w:widowControl w:val="false"/>
        <w:rPr>
          <w:rFonts w:cs="Arial"/>
        </w:rPr>
      </w:pPr>
      <w:r>
        <w:t xml:space="preserve"> </w:t>
      </w:r>
    </w:p>
    <w:p>
      <w:pPr>
        <w:keepNext/>
        <w:widowControl w:val="false"/>
        <w:spacing w:beforeAutospacing="true" w:afterAutospacing="true"/>
        <w:rPr>
          <w:rFonts w:cs="Arial"/>
        </w:rPr>
      </w:pPr>
      <w:r>
        <w:rPr>
          <w:rFonts w:cs="Arial"/>
        </w:rPr>
        <w:t xml:space="preserve">Performance measure reports track the length of time individuals and families remain homeless.  Reports include the average number of days in shelter for individuals/families and the average number of months in transition al housing.  Using the data from the reports ad the needs of the community, the following strategies help persons experiencing homeless to transition to housing and not return to homelessness.</w:t>
      </w:r>
    </w:p>
    <w:p>
      <w:pPr>
        <w:numPr>
          <w:ilvl w:val="0"/>
          <w:numId w:val="25"/>
        </w:numPr>
        <w:spacing w:beforeAutospacing="true" w:afterAutospacing="true"/>
      </w:pPr>
      <w:r>
        <w:rPr>
          <w:rFonts w:cs="Arial"/>
        </w:rPr>
        <w:t xml:space="preserve">Increased use of RRH efforts including funding from TAF, COC and ESG dollars</w:t>
      </w:r>
    </w:p>
    <w:p>
      <w:pPr>
        <w:numPr>
          <w:ilvl w:val="0"/>
          <w:numId w:val="25"/>
        </w:numPr>
        <w:spacing w:beforeAutospacing="true" w:afterAutospacing="true"/>
      </w:pPr>
      <w:r>
        <w:rPr>
          <w:rFonts w:cs="Arial"/>
        </w:rPr>
        <w:t xml:space="preserve">Improve efficiency and effectives of RRH through lessons learned from best practices.</w:t>
      </w:r>
    </w:p>
    <w:p>
      <w:pPr>
        <w:numPr>
          <w:ilvl w:val="0"/>
          <w:numId w:val="25"/>
        </w:numPr>
        <w:spacing w:beforeAutospacing="true" w:afterAutospacing="true"/>
      </w:pPr>
      <w:r>
        <w:rPr>
          <w:rFonts w:cs="Arial"/>
        </w:rPr>
        <w:t xml:space="preserve">Follow prioritization guidance for PSH projects, giving priority to those with the highest service needs and longest history of homelessness.</w:t>
      </w:r>
    </w:p>
    <w:p>
      <w:pPr>
        <w:numPr>
          <w:ilvl w:val="0"/>
          <w:numId w:val="25"/>
        </w:numPr>
        <w:spacing w:beforeAutospacing="true" w:afterAutospacing="true"/>
      </w:pPr>
      <w:r>
        <w:rPr>
          <w:rFonts w:cs="Arial"/>
        </w:rPr>
        <w:t xml:space="preserve">Use of the VI-SPDAT assessment as one part of the procedures for placing Chronically Homeless individuals in housing.</w:t>
      </w:r>
    </w:p>
    <w:p>
      <w:pPr>
        <w:keepNext/>
        <w:widowControl w:val="false"/>
        <w:spacing w:beforeAutospacing="true" w:afterAutospacing="true"/>
        <w:rPr>
          <w:rFonts w:cs="Arial"/>
        </w:rPr>
      </w:pPr>
      <w:r>
        <w:rPr>
          <w:rFonts w:cs="Arial"/>
        </w:rPr>
        <w:t xml:space="preserve">Performance measure reports track the length of time individuals and families remain homeless.  Reports include the average number of days in shelter for individuals/families and the average number of months in transition al housing.  Using the data from the reports ad the needs of the community, the following strategies help persons experiencing </w:t>
      </w:r>
    </w:p>
    <w:p>
      <w:pPr>
        <w:keepNext/>
        <w:widowControl w:val="false"/>
        <w:rPr>
          <w:b/>
          <w:sz w:val="24"/>
          <w:szCs w:val="24"/>
        </w:rPr>
      </w:pPr>
      <w:r>
        <w:rPr>
          <w:b/>
          <w:sz w:val="24"/>
          <w:szCs w:val="24"/>
        </w:rPr>
        <w:t>Helping low-income individuals and families avoid becoming homeless, especially extremely low-income individuals and families and those who are: being discharged from publicly funded institutions and systems of care (such as health care facilities, mental health facilities, foster care and other youth facilities, and corrections programs and institutions) or, receiving assistance from public or private agencies that address housing, health, social services, employment, education, or youth needs.</w:t>
      </w:r>
      <w:r>
        <w:t xml:space="preserve"> </w:t>
      </w:r>
      <w:r>
        <w:rPr>
          <w:b/>
          <w:i/>
          <w:sz w:val="24"/>
          <w:szCs w:val="24"/>
        </w:rPr>
      </w:r>
    </w:p>
    <w:p>
      <w:pPr>
        <w:keepNext/>
        <w:widowControl w:val="false"/>
        <w:rPr>
          <w:rFonts w:cs="Arial"/>
          <w:szCs w:val="26"/>
        </w:rPr>
      </w:pPr>
      <w:r>
        <w:t xml:space="preserve"> </w:t>
      </w:r>
    </w:p>
    <w:p>
      <w:pPr>
        <w:keepNext/>
        <w:widowControl w:val="false"/>
        <w:spacing w:beforeAutospacing="true" w:afterAutospacing="true"/>
        <w:rPr>
          <w:rFonts w:cs="Arial"/>
          <w:szCs w:val="26"/>
        </w:rPr>
      </w:pPr>
      <w:r>
        <w:rPr>
          <w:rFonts w:cs="Arial"/>
        </w:rPr>
        <w:t xml:space="preserve">The most significant action taken to prevent homelessness in Salt Lake County is through Diversion.  A private non-profit agency has been provided funding, staff capacity, and linkages to all the homeless resource centers and other agencies where people who are on the verge on homelessness present.  Through the funding availability and the training of case managers, those on the verge of a homeless crisis are provided resources to abate that experience.  A needs assessment of the individuals or household is performed looking at all resources that can be used.  These include staying with family, church or philanthropic, one-time, short term rental assistance, financial counseling, one-time payment of utilities or owed charges, etc.</w:t>
      </w:r>
    </w:p>
    <w:p>
      <w:pPr>
        <w:keepNext/>
        <w:widowControl w:val="false"/>
        <w:spacing w:beforeAutospacing="true" w:afterAutospacing="true"/>
        <w:rPr>
          <w:rFonts w:cs="Arial"/>
          <w:szCs w:val="26"/>
        </w:rPr>
      </w:pPr>
    </w:p>
    <w:p>
      <w:pPr>
        <w:keepNext/>
        <w:widowControl w:val="false"/>
        <w:spacing w:line="204" w:lineRule="auto"/>
        <w:rPr>
          <w:b/>
          <w:i/>
          <w:sz w:val="24"/>
          <w:szCs w:val="24"/>
        </w:rPr>
      </w:pPr>
      <w:r>
        <w:rPr>
          <w:b/>
          <w:sz w:val="24"/>
          <w:szCs w:val="24"/>
        </w:rPr>
        <w:t xml:space="preserve">Discussion </w:t>
      </w:r>
      <w:r>
        <w:rPr>
          <w:b/>
          <w:i/>
          <w:sz w:val="24"/>
          <w:szCs w:val="24"/>
        </w:rPr>
      </w:r>
    </w:p>
    <w:p>
      <w:pPr>
        <w:keepNext/>
        <w:widowControl w:val="false"/>
        <w:spacing w:line="204" w:lineRule="auto"/>
        <w:rPr>
          <w:b/>
          <w:sz w:val="24"/>
          <w:szCs w:val="24"/>
        </w:rPr>
      </w:pPr>
      <w:r>
        <w:t xml:space="preserve"> </w:t>
      </w:r>
    </w:p>
    <w:p>
      <w:pPr>
        <w:keepNext/>
        <w:widowControl w:val="false"/>
        <w:spacing w:beforeAutospacing="true" w:afterAutospacing="true"/>
        <w:rPr>
          <w:b/>
          <w:sz w:val="24"/>
          <w:szCs w:val="24"/>
        </w:rPr>
      </w:pPr>
      <w:r>
        <w:rPr>
          <w:rFonts w:cs="Arial"/>
        </w:rPr>
        <w:t xml:space="preserve">The impact of the COVID 19 is not fully known. In the Market Analysis section James Wood stated that there are at least 30,000 people who have lost their jobs and are not receiving unemployement benefits. Acccording to a national study, it is estimated that the homeless population will increase by 50%. Salt Lake County along with othery cities and state of Utah will work and help finace an increase of the capacity of agencies providing services to prevent homelessness and help the homeless.</w:t>
      </w:r>
    </w:p>
    <w:p>
      <w:pPr>
        <w:keepNext/>
        <w:widowControl w:val="false"/>
        <w:spacing w:after="0" w:line="240" w:lineRule="auto"/>
        <w:jc w:val="center"/>
        <w:rPr>
          <w:rFonts w:cs="Arial"/>
        </w:rPr>
      </w:pPr>
    </w:p>
    <w:p>
      <w:pPr>
        <w:pStyle w:val="Heading2"/>
        <w:pageBreakBefore/>
        <w:widowControl w:val="false"/>
        <w:rPr>
          <w:rFonts w:ascii="Calibri" w:hAnsi="Calibri"/>
          <w:i w:val="false"/>
        </w:rPr>
      </w:pPr>
      <w:r>
        <w:rPr>
          <w:rFonts w:ascii="Calibri" w:hAnsi="Calibri"/>
          <w:i w:val="false"/>
        </w:rPr>
        <w:t>AP-85 Other Actions - 91.420, 91.220(k)</w:t>
      </w:r>
    </w:p>
    <w:p>
      <w:pPr>
        <w:keepNext/>
        <w:widowControl w:val="false"/>
        <w:spacing w:line="204" w:lineRule="auto"/>
        <w:rPr>
          <w:b/>
          <w:sz w:val="24"/>
          <w:szCs w:val="24"/>
        </w:rPr>
      </w:pPr>
      <w:r>
        <w:rPr>
          <w:b/>
          <w:sz w:val="24"/>
          <w:szCs w:val="24"/>
        </w:rPr>
        <w:t>Introduction</w:t>
      </w:r>
    </w:p>
    <w:p>
      <w:pPr>
        <w:keepNext/>
        <w:widowControl w:val="false"/>
        <w:spacing w:beforeAutospacing="true" w:afterAutospacing="true"/>
        <w:rPr>
          <w:b/>
          <w:sz w:val="24"/>
          <w:szCs w:val="24"/>
        </w:rPr>
      </w:pPr>
      <w:r>
        <w:rPr>
          <w:rFonts w:cs="Arial"/>
        </w:rPr>
        <w:t xml:space="preserve">Undoubtedly there are powerful underlying economic and demographic forces at work leading to greater concentrations of minority and poor populations, significant disparities of opportunity and major impediments to fair housing choice. For the most part these forces are independent of policies and practices of local governments and the action plans set forth in consolidated plans.  It’s generally accepted that economic and demographic forces—income, employment, housing prices and to a lesser extent population trends—reflect conditions of supply and demand.  While these forces may be largely independent of local policies and practices there are cases where local public policy can have rather significant impacts on local economic conditions, particularly housing prices. </w:t>
      </w:r>
    </w:p>
    <w:p>
      <w:pPr>
        <w:keepNext/>
        <w:widowControl w:val="false"/>
        <w:spacing w:beforeAutospacing="true" w:afterAutospacing="true"/>
        <w:rPr>
          <w:b/>
          <w:sz w:val="24"/>
          <w:szCs w:val="24"/>
        </w:rPr>
      </w:pPr>
      <w:r>
        <w:rPr>
          <w:rFonts w:cs="Arial"/>
          <w:i/>
        </w:rPr>
        <w:t xml:space="preserve">Income – </w:t>
      </w:r>
      <w:r>
        <w:rPr>
          <w:rFonts w:cs="Arial"/>
        </w:rPr>
        <w:t xml:space="preserve">Probably the factor with the most widespread impact on fair housing choice and access to opportunity is income.  For thirty years the Utah economy and households have struggled with relatively low wages. </w:t>
      </w:r>
    </w:p>
    <w:p>
      <w:pPr>
        <w:keepNext/>
        <w:widowControl w:val="false"/>
        <w:spacing w:beforeAutospacing="true" w:afterAutospacing="true"/>
        <w:rPr>
          <w:b/>
          <w:sz w:val="24"/>
          <w:szCs w:val="24"/>
        </w:rPr>
      </w:pPr>
      <w:r>
        <w:rPr>
          <w:rFonts w:cs="Arial"/>
        </w:rPr>
        <w:t xml:space="preserve">Affordable rental housing is the greatest housing need for protected classes.  Over half of all minority households rent and these households are more likely to be very low or extremely low income households. Therefore policy measures that encourage additional affordable rental housing are the most effective in meeting the unmet housing needs of protected classes and affirmatively furthering fair housing. And conversely policy measures that limit or preclude the development of additional affordable rental housing are serious impediments to fair housing choice.</w:t>
      </w:r>
    </w:p>
    <w:p>
      <w:pPr>
        <w:keepNext/>
        <w:widowControl w:val="false"/>
        <w:spacing w:beforeAutospacing="true" w:afterAutospacing="true"/>
        <w:rPr>
          <w:b/>
          <w:sz w:val="24"/>
          <w:szCs w:val="24"/>
        </w:rPr>
      </w:pPr>
      <w:r>
        <w:rPr>
          <w:rFonts w:cs="Arial"/>
        </w:rPr>
        <w:t xml:space="preserve">The most critical unmet housing needs are concentrated in the very low and extremely low income households.  These households comprise a significant share of the county’s population.  One-in-four households in the county have incomes below 50 percent of the Area Median Income (AMI).  Of the 355,000 households in Salt Lake County in 2012, 88,750 were households with very low income; $35,000 or less for a family of four.  There were over 53,000 households with extremely low income, approximately $21,000 or less for a family of four Table 1.  Again these households are much more likely to be renter households of protected classes.</w:t>
      </w:r>
    </w:p>
    <w:p>
      <w:pPr>
        <w:keepNext/>
        <w:widowControl w:val="false"/>
        <w:spacing w:beforeAutospacing="true" w:afterAutospacing="true"/>
        <w:rPr>
          <w:b/>
          <w:sz w:val="24"/>
          <w:szCs w:val="24"/>
        </w:rPr>
      </w:pPr>
    </w:p>
    <w:p>
      <w:pPr>
        <w:keepNext/>
        <w:widowControl w:val="false"/>
        <w:rPr>
          <w:b/>
          <w:sz w:val="24"/>
          <w:szCs w:val="24"/>
        </w:rPr>
      </w:pPr>
      <w:r>
        <w:rPr>
          <w:b/>
          <w:sz w:val="24"/>
          <w:szCs w:val="24"/>
        </w:rPr>
        <w:t>Actions planned to address obstacles to meeting underserved needs</w:t>
      </w:r>
    </w:p>
    <w:p>
      <w:pPr>
        <w:keepNext/>
        <w:widowControl w:val="false"/>
        <w:spacing w:beforeAutospacing="true" w:afterAutospacing="true"/>
        <w:rPr>
          <w:rFonts w:cs="Arial"/>
        </w:rPr>
      </w:pPr>
      <w:r>
        <w:rPr>
          <w:rFonts w:cs="Arial"/>
        </w:rPr>
        <w:t xml:space="preserve">Salt Lake County in this year’s allocation of funds placed a high priority on the development of a more effective allocation process to help improve the quality of and value of outcomes to be achieved. See Appendix 2 Public process for more description of the efforts taken to improve the allocation of CDBG and other funding. This effort coupled with the efforts for Collective Impact for homeless, with the Green &amp; Healthy Homes Initiative, the development of Pay for Success Initiatives, the implementation of the Sustainable Grant planning, and the development and implementation of a Regional Analysis of Impediments Action Plan will all help address and mitigate the obstacles to become better at meeting underserved needs.</w:t>
      </w:r>
    </w:p>
    <w:p>
      <w:pPr>
        <w:keepNext/>
        <w:widowControl w:val="false"/>
        <w:spacing w:beforeAutospacing="true" w:afterAutospacing="true"/>
        <w:rPr>
          <w:rFonts w:cs="Arial"/>
        </w:rPr>
      </w:pPr>
      <w:r>
        <w:rPr>
          <w:rFonts w:cs="Arial"/>
        </w:rPr>
        <w:t xml:space="preserve"> </w:t>
      </w:r>
    </w:p>
    <w:p>
      <w:pPr>
        <w:keepNext/>
        <w:widowControl w:val="false"/>
        <w:spacing w:beforeAutospacing="true" w:afterAutospacing="true"/>
        <w:rPr>
          <w:rFonts w:cs="Arial"/>
        </w:rPr>
      </w:pPr>
      <w:r>
        <w:rPr>
          <w:rFonts w:cs="Arial"/>
        </w:rPr>
        <w:t xml:space="preserve"> </w:t>
      </w:r>
    </w:p>
    <w:p>
      <w:pPr>
        <w:keepNext/>
        <w:widowControl w:val="false"/>
        <w:spacing w:beforeAutospacing="true" w:afterAutospacing="true"/>
        <w:rPr>
          <w:rFonts w:cs="Arial"/>
        </w:rPr>
      </w:pPr>
      <w:r>
        <w:rPr>
          <w:rFonts w:cs="Arial"/>
        </w:rPr>
        <w:br/>
        <w:t xml:space="preserve"/>
      </w:r>
    </w:p>
    <w:p>
      <w:pPr>
        <w:keepNext/>
        <w:widowControl w:val="false"/>
        <w:spacing w:beforeAutospacing="true" w:afterAutospacing="true"/>
        <w:rPr>
          <w:rFonts w:cs="Arial"/>
        </w:rPr>
      </w:pPr>
      <w:r>
        <w:rPr>
          <w:rFonts w:cs="Arial"/>
        </w:rPr>
        <w:t xml:space="preserve"> </w:t>
      </w:r>
    </w:p>
    <w:p>
      <w:pPr>
        <w:keepNext/>
        <w:widowControl w:val="false"/>
        <w:spacing w:beforeAutospacing="true" w:afterAutospacing="true"/>
        <w:rPr>
          <w:rFonts w:cs="Arial"/>
        </w:rPr>
      </w:pPr>
    </w:p>
    <w:p>
      <w:pPr>
        <w:keepNext/>
        <w:widowControl w:val="false"/>
        <w:rPr>
          <w:b/>
          <w:sz w:val="24"/>
          <w:szCs w:val="24"/>
        </w:rPr>
      </w:pPr>
      <w:r>
        <w:rPr>
          <w:b/>
          <w:sz w:val="24"/>
          <w:szCs w:val="24"/>
        </w:rPr>
        <w:t>Actions planned to foster and maintain affordable housing</w:t>
      </w:r>
    </w:p>
    <w:p>
      <w:pPr>
        <w:keepNext/>
        <w:widowControl w:val="false"/>
        <w:spacing w:beforeAutospacing="true" w:afterAutospacing="true"/>
        <w:rPr>
          <w:rFonts w:cs="Arial"/>
        </w:rPr>
      </w:pPr>
      <w:r>
        <w:rPr>
          <w:rFonts w:cs="Arial"/>
        </w:rPr>
        <w:t xml:space="preserve">A</w:t>
      </w:r>
    </w:p>
    <w:p>
      <w:pPr>
        <w:keepNext/>
        <w:widowControl w:val="false"/>
        <w:spacing w:beforeAutospacing="true" w:afterAutospacing="true"/>
        <w:rPr>
          <w:rFonts w:cs="Arial"/>
        </w:rPr>
      </w:pPr>
      <w:r>
        <w:rPr>
          <w:rFonts w:cs="Arial"/>
        </w:rPr>
        <w:t xml:space="preserve">Salt Lake County through the use of HOME funds has helped finance the development and improvement of 58 rental housing developments with over 4,000 rental units. HOME funds will continue to be critical in helping support and bring together funding for special needs rental housing developments. Over the five years it is anticipated that at least 10 more rental housing developments will be funded and completed. These projects will include housing for the homeless, seniors and other special needs. Additionally the implementation of the Green &amp; Healthy Homes Initiative Salt Lake will support through funding and education the importance of preservation of existing housing and making homes as healthy as possible.</w:t>
      </w:r>
    </w:p>
    <w:p>
      <w:pPr>
        <w:keepNext/>
        <w:widowControl w:val="false"/>
        <w:rPr>
          <w:b/>
          <w:sz w:val="24"/>
          <w:szCs w:val="24"/>
        </w:rPr>
      </w:pPr>
      <w:r>
        <w:rPr>
          <w:b/>
          <w:sz w:val="24"/>
          <w:szCs w:val="24"/>
        </w:rPr>
        <w:t>Actions planned to reduce lead-based paint hazards</w:t>
      </w:r>
    </w:p>
    <w:p>
      <w:pPr>
        <w:keepNext/>
        <w:widowControl w:val="false"/>
        <w:spacing w:beforeAutospacing="true" w:afterAutospacing="true"/>
        <w:rPr>
          <w:rFonts w:cs="Arial"/>
        </w:rPr>
      </w:pPr>
      <w:r>
        <w:rPr>
          <w:rFonts w:cs="Arial"/>
        </w:rPr>
        <w:t xml:space="preserve">On January 1, 2020 Salt Lake rstarted the implementation of a $5.1 million lead hazard grant to fund the retrofit of 260 homes over the next three and half years. This funding is coupled with a grant from the Center for Disease Control for outreach and education. Additionally as required by the HOME program each project that is older than will receive a lead hazard assessment. These different elements have been combined to put into place Lead Safe alt Lake with the following goals:</w:t>
      </w:r>
      <w:r>
        <w:rPr>
          <w:rFonts w:cs="Arial"/>
          <w:b/>
        </w:rPr>
        <w:br/>
        <w:t xml:space="preserve"/>
      </w:r>
    </w:p>
    <w:p>
      <w:pPr>
        <w:keepNext/>
        <w:widowControl w:val="false"/>
        <w:spacing w:beforeAutospacing="true" w:afterAutospacing="true"/>
        <w:rPr>
          <w:rFonts w:cs="Arial"/>
        </w:rPr>
      </w:pPr>
      <w:r>
        <w:rPr>
          <w:rFonts w:cs="Arial"/>
        </w:rPr>
        <w:t xml:space="preserve">1. Increase the number of children tested for lead poisoning. The Utah Lead Coalition was formed 2017, which consists of 40 agencies working together to increase the number of children tested for lead poisoning.</w:t>
      </w:r>
    </w:p>
    <w:p>
      <w:pPr>
        <w:keepNext/>
        <w:widowControl w:val="false"/>
        <w:spacing w:beforeAutospacing="true" w:afterAutospacing="true"/>
        <w:rPr>
          <w:rFonts w:cs="Arial"/>
        </w:rPr>
      </w:pPr>
      <w:r>
        <w:rPr>
          <w:rFonts w:cs="Arial"/>
        </w:rPr>
        <w:t xml:space="preserve">2. Improve the collection of data and development of surveillance to improve the tracking and analysis of  children who have elevated blood levels</w:t>
      </w:r>
    </w:p>
    <w:p>
      <w:pPr>
        <w:keepNext/>
        <w:widowControl w:val="false"/>
        <w:spacing w:beforeAutospacing="true" w:afterAutospacing="true"/>
        <w:rPr>
          <w:rFonts w:cs="Arial"/>
        </w:rPr>
      </w:pPr>
      <w:r>
        <w:rPr>
          <w:rFonts w:cs="Arial"/>
        </w:rPr>
        <w:t xml:space="preserve">3 Improve the coordination of agencies through Utah Lead Coalition</w:t>
      </w:r>
    </w:p>
    <w:p>
      <w:pPr>
        <w:keepNext/>
        <w:widowControl w:val="false"/>
        <w:spacing w:beforeAutospacing="true" w:afterAutospacing="true"/>
        <w:rPr>
          <w:rFonts w:cs="Arial"/>
        </w:rPr>
      </w:pPr>
      <w:r>
        <w:rPr>
          <w:rFonts w:cs="Arial"/>
        </w:rPr>
        <w:t xml:space="preserve">4. Increase referrals to Salt Lake County's lead safe housing program. </w:t>
      </w:r>
    </w:p>
    <w:p>
      <w:pPr>
        <w:keepNext/>
        <w:widowControl w:val="false"/>
        <w:rPr>
          <w:b/>
          <w:sz w:val="24"/>
          <w:szCs w:val="24"/>
        </w:rPr>
      </w:pPr>
      <w:r>
        <w:rPr>
          <w:b/>
          <w:sz w:val="24"/>
          <w:szCs w:val="24"/>
        </w:rPr>
        <w:t>Actions planned to reduce the number of poverty-level families</w:t>
      </w:r>
    </w:p>
    <w:p>
      <w:pPr>
        <w:keepNext/>
        <w:widowControl w:val="false"/>
        <w:spacing w:beforeAutospacing="true" w:afterAutospacing="true"/>
        <w:rPr>
          <w:rFonts w:cs="Arial"/>
          <w:szCs w:val="26"/>
        </w:rPr>
      </w:pPr>
      <w:r>
        <w:rPr>
          <w:rFonts w:cs="Arial"/>
        </w:rPr>
        <w:t xml:space="preserve">Several initiatives are occurring to help reduce the number of poverty level families. It is a difficult challenge. The improvement in the economy has increased the number of jobs that are available. The Collective Impact for Homelessness is part of an effort to more effectively help low income households become self-sufficient. Improving the health of homes through Green &amp; Healthy Homes Initiative helps low income families with severely sick children to become more stable, able to keep jobs and the children to attend school.</w:t>
      </w:r>
    </w:p>
    <w:p>
      <w:pPr>
        <w:keepNext/>
        <w:widowControl w:val="false"/>
        <w:spacing w:beforeAutospacing="true" w:afterAutospacing="true"/>
        <w:rPr>
          <w:rFonts w:cs="Arial"/>
          <w:szCs w:val="26"/>
        </w:rPr>
      </w:pPr>
    </w:p>
    <w:p>
      <w:pPr>
        <w:keepNext/>
        <w:widowControl w:val="false"/>
        <w:rPr>
          <w:b/>
          <w:sz w:val="24"/>
          <w:szCs w:val="24"/>
        </w:rPr>
      </w:pPr>
      <w:r>
        <w:rPr>
          <w:b/>
          <w:sz w:val="24"/>
          <w:szCs w:val="24"/>
        </w:rPr>
        <w:t xml:space="preserve">Actions planned to develop institutional structure </w:t>
      </w:r>
    </w:p>
    <w:p>
      <w:pPr>
        <w:keepNext/>
        <w:widowControl w:val="false"/>
        <w:spacing w:beforeAutospacing="true" w:afterAutospacing="true"/>
        <w:rPr>
          <w:rFonts w:cs="Arial"/>
        </w:rPr>
      </w:pPr>
      <w:r>
        <w:rPr>
          <w:rFonts w:cs="Arial"/>
        </w:rPr>
        <w:t xml:space="preserve">Sa</w:t>
      </w:r>
    </w:p>
    <w:p>
      <w:pPr>
        <w:keepNext/>
        <w:widowControl w:val="false"/>
        <w:spacing w:beforeAutospacing="true" w:afterAutospacing="true"/>
        <w:rPr>
          <w:rFonts w:cs="Arial"/>
        </w:rPr>
      </w:pPr>
      <w:r>
        <w:rPr>
          <w:rFonts w:cs="Arial"/>
        </w:rPr>
        <w:t xml:space="preserve">Salt Lake County is a national leader in the development and use of Pay for Success/Social Investment Bond financing as a way to meet some of the most critical needs in the community and have more effective outcomes. Salt Lake County supported the development and implementation of Pay for Success investment in improving after school programs and this effort helped improved the reading levels which in turn improve attendance and graduation. Green &amp; Healthy Homes, Homelessness, improving the opportunities for the ones coming out jail, and healthy children are other initiatives that will receive funding through Pay for Success/social investment bonds that will help further develop institutional structure.</w:t>
      </w:r>
    </w:p>
    <w:p>
      <w:pPr>
        <w:keepNext/>
        <w:widowControl w:val="false"/>
        <w:spacing w:beforeAutospacing="true" w:afterAutospacing="true"/>
        <w:rPr>
          <w:rFonts w:cs="Arial"/>
        </w:rPr>
      </w:pPr>
    </w:p>
    <w:p>
      <w:pPr>
        <w:keepNext/>
        <w:widowControl w:val="false"/>
        <w:rPr>
          <w:b/>
          <w:sz w:val="24"/>
          <w:szCs w:val="24"/>
        </w:rPr>
      </w:pPr>
      <w:r>
        <w:rPr>
          <w:b/>
          <w:sz w:val="24"/>
          <w:szCs w:val="24"/>
        </w:rPr>
        <w:t>Actions planned to enhance coordination between public and private housing and social service agencies</w:t>
      </w:r>
    </w:p>
    <w:p>
      <w:pPr>
        <w:keepNext/>
        <w:widowControl w:val="false"/>
        <w:spacing w:beforeAutospacing="true" w:afterAutospacing="true"/>
        <w:rPr>
          <w:rFonts w:cs="Arial"/>
          <w:szCs w:val="26"/>
        </w:rPr>
      </w:pPr>
      <w:r>
        <w:rPr>
          <w:rFonts w:cs="Arial"/>
        </w:rPr>
        <w:t xml:space="preserve">About four years ago Salt Lake County received a Sustainable Communities Planning Grant. After three years a number of issues were resolved and initiatives started to take an integrated regional approach for meeting the current and future needs of housing, transportation, economic development and investment decisions. Impediments to fair housing choice are common impediments shared by most cities within the region.  The most effective mitigation to these common impediments is a coordinated, shared approach by the cities in the region.  Collaboration between service providers and jurisdictions to develop a regional approach has been developed and is being further developed. The Collective Impact Initiative for homelessness and the Green &amp; Healthy Homes Initiative are two other examples of coordinated and integrated approaches that will be used to improve coordination between public and private housing and social service agencies.</w:t>
      </w:r>
    </w:p>
    <w:p>
      <w:pPr>
        <w:keepNext/>
        <w:widowControl w:val="false"/>
        <w:spacing w:beforeAutospacing="true" w:afterAutospacing="true"/>
        <w:rPr>
          <w:rFonts w:cs="Arial"/>
          <w:szCs w:val="26"/>
        </w:rPr>
      </w:pPr>
    </w:p>
    <w:p>
      <w:pPr>
        <w:keepNext/>
        <w:widowControl w:val="false"/>
        <w:spacing w:beforeAutospacing="true" w:afterAutospacing="true"/>
        <w:rPr>
          <w:rFonts w:cs="Arial"/>
          <w:szCs w:val="26"/>
        </w:rPr>
      </w:pPr>
    </w:p>
    <w:p>
      <w:pPr>
        <w:keepNext/>
        <w:widowControl w:val="false"/>
        <w:spacing w:line="204" w:lineRule="auto"/>
        <w:rPr>
          <w:b/>
          <w:sz w:val="24"/>
          <w:szCs w:val="24"/>
        </w:rPr>
      </w:pPr>
      <w:r>
        <w:rPr>
          <w:b/>
          <w:sz w:val="24"/>
          <w:szCs w:val="24"/>
        </w:rPr>
        <w:t>Discussion</w:t>
      </w:r>
    </w:p>
    <w:p>
      <w:pPr>
        <w:keepNext/>
        <w:widowControl w:val="false"/>
        <w:spacing w:beforeAutospacing="true" w:afterAutospacing="true"/>
        <w:rPr>
          <w:b/>
          <w:sz w:val="24"/>
          <w:szCs w:val="24"/>
        </w:rPr>
      </w:pPr>
      <w:r>
        <w:rPr>
          <w:rFonts w:cs="Arial"/>
        </w:rPr>
        <w:t xml:space="preserve">The Sustainable Communities Planning Grant is a multi-agency program to encourage the integration of housing, transportation and economic development decision on a regional basis.  HUD’s goal is to raise the priority of housing in the capital investment decision making process. Locally the relevant agencies for coordination are Wasatch Front Regional Council (MPO), Envision Utah, Utah Transit Authority and Utah Department of Transportation.  The housing and transportation needs of protected classes, who are disproportionately public transit dependent, will be a high priority in decisions regarding public transit investments, schedules, routes and fees.  More attention will be given to work on making sure there is equitable housing choices.  The transit needs of protected classes in the long range planning of these agencies is also a major part of these efforts.</w:t>
      </w:r>
    </w:p>
    <w:p>
      <w:pPr>
        <w:keepNext/>
        <w:widowControl w:val="false"/>
        <w:spacing w:beforeAutospacing="true" w:afterAutospacing="true"/>
        <w:rPr>
          <w:b/>
          <w:sz w:val="24"/>
          <w:szCs w:val="24"/>
        </w:rPr>
      </w:pPr>
      <w:r>
        <w:rPr>
          <w:rFonts w:cs="Arial"/>
        </w:rPr>
        <w:t xml:space="preserve"> </w:t>
      </w:r>
    </w:p>
    <w:p>
      <w:pPr>
        <w:keepNext/>
        <w:widowControl w:val="false"/>
        <w:spacing w:beforeAutospacing="true" w:afterAutospacing="true"/>
        <w:rPr>
          <w:b/>
          <w:sz w:val="24"/>
          <w:szCs w:val="24"/>
        </w:rPr>
      </w:pPr>
      <w:r>
        <w:rPr>
          <w:rFonts w:cs="Arial"/>
        </w:rPr>
        <w:t xml:space="preserve"> </w:t>
      </w:r>
    </w:p>
    <w:p>
      <w:pPr>
        <w:keepNext/>
        <w:widowControl w:val="false"/>
        <w:spacing w:beforeAutospacing="true" w:afterAutospacing="true"/>
        <w:rPr>
          <w:b/>
          <w:sz w:val="24"/>
          <w:szCs w:val="24"/>
        </w:rPr>
      </w:pPr>
      <w:r>
        <w:rPr>
          <w:rFonts w:cs="Arial"/>
        </w:rPr>
        <w:t xml:space="preserve"> </w:t>
      </w:r>
    </w:p>
    <w:p>
      <w:pPr>
        <w:pStyle w:val="Heading1"/>
        <w:pageBreakBefore/>
        <w:jc w:val="center"/>
        <w:rPr>
          <w:rFonts w:ascii="Calibri" w:hAnsi="Calibri"/>
          <w:color w:val="auto"/>
          <w:sz w:val="32"/>
          <w:szCs w:val="32"/>
        </w:rPr>
      </w:pPr>
      <w:r>
        <w:rPr>
          <w:rFonts w:ascii="Calibri" w:hAnsi="Calibri"/>
          <w:color w:val="auto"/>
          <w:sz w:val="32"/>
          <w:szCs w:val="32"/>
        </w:rPr>
        <w:t>Program Specific Requirements</w:t>
      </w:r>
    </w:p>
    <w:p>
      <w:pPr>
        <w:rPr>
          <w:b/>
          <w:sz w:val="28"/>
          <w:szCs w:val="28"/>
        </w:rPr>
      </w:pPr>
      <w:r>
        <w:rPr>
          <w:b/>
          <w:sz w:val="28"/>
          <w:szCs w:val="28"/>
        </w:rPr>
        <w:t>AP-90 Program Specific Requirements - 91.420, 91.220(l)(1,2,4)</w:t>
      </w:r>
    </w:p>
    <w:p>
      <w:pPr>
        <w:keepNext/>
        <w:widowControl w:val="false"/>
        <w:spacing w:line="204" w:lineRule="auto"/>
        <w:rPr>
          <w:b/>
          <w:sz w:val="24"/>
          <w:szCs w:val="24"/>
        </w:rPr>
      </w:pPr>
      <w:r>
        <w:rPr>
          <w:b/>
          <w:sz w:val="24"/>
          <w:szCs w:val="24"/>
        </w:rPr>
        <w:t>Introduction</w:t>
      </w:r>
    </w:p>
    <w:p>
      <w:pPr>
        <w:keepNext/>
        <w:widowControl w:val="false"/>
        <w:spacing w:beforeAutospacing="true" w:afterAutospacing="true"/>
        <w:rPr>
          <w:b/>
          <w:sz w:val="24"/>
          <w:szCs w:val="24"/>
        </w:rPr>
      </w:pPr>
      <w:r>
        <w:rPr>
          <w:rFonts w:cs="Arial"/>
        </w:rPr>
        <w:t xml:space="preserve">Listed below are the program specific requirements for CDBG, HOME and ESG</w:t>
      </w:r>
    </w:p>
    <w:p>
      <w:pPr>
        <w:keepNext/>
        <w:widowControl w:val="false"/>
        <w:spacing w:after="0" w:line="240" w:lineRule="auto"/>
        <w:jc w:val="center"/>
        <w:rPr>
          <w:rFonts w:cs="Arial"/>
          <w:b/>
          <w:sz w:val="24"/>
          <w:szCs w:val="24"/>
        </w:rPr>
      </w:pPr>
      <w:r>
        <w:rPr>
          <w:rFonts w:cs="Arial"/>
          <w:b/>
          <w:sz w:val="24"/>
          <w:szCs w:val="24"/>
        </w:rPr>
        <w:t>Community Development Block Grant Program (CDBG)</w:t>
      </w:r>
      <w:r>
        <w:rPr>
          <w:i/>
        </w:rPr>
        <w:t xml:space="preserve"> </w:t>
      </w:r>
      <w:r>
        <w:rPr>
          <w:rFonts w:cs="Arial"/>
          <w:b/>
          <w:i/>
          <w:sz w:val="24"/>
          <w:szCs w:val="24"/>
        </w:rPr>
      </w:r>
    </w:p>
    <w:p>
      <w:pPr>
        <w:keepNext/>
        <w:widowControl w:val="false"/>
        <w:spacing w:after="0" w:line="240" w:lineRule="auto"/>
        <w:jc w:val="center"/>
        <w:rPr>
          <w:rFonts w:cs="Arial"/>
          <w:b/>
          <w:sz w:val="24"/>
          <w:szCs w:val="24"/>
        </w:rPr>
      </w:pPr>
      <w:r>
        <w:rPr>
          <w:rFonts w:cs="Arial"/>
          <w:b/>
          <w:sz w:val="24"/>
          <w:szCs w:val="24"/>
        </w:rPr>
        <w:t>Reference 24 CFR 91.220(l)(1)</w:t>
      </w:r>
      <w:r>
        <w:rPr>
          <w:i/>
        </w:rPr>
        <w:t xml:space="preserve"> </w:t>
      </w:r>
      <w:r>
        <w:rPr>
          <w:rFonts w:cs="Arial"/>
          <w:b/>
          <w:i/>
          <w:sz w:val="24"/>
          <w:szCs w:val="24"/>
        </w:rPr>
      </w:r>
    </w:p>
    <w:p>
      <w:pPr>
        <w:keepNext/>
        <w:widowControl w:val="false"/>
        <w:spacing w:after="0" w:line="240" w:lineRule="auto"/>
        <w:rPr>
          <w:rFonts w:cs="Arial"/>
        </w:rPr>
      </w:pPr>
      <w:r>
        <w:rPr>
          <w:rFonts w:cs="Arial"/>
        </w:rPr>
        <w:t>Projects planned with all CDBG funds expected to be available during the year are identified in the Projects Table. The following identifies program income that is available for use that is included in projects to be carried out.</w:t>
      </w:r>
      <w:r>
        <w:t xml:space="preserve"> </w:t>
      </w:r>
      <w:r>
        <w:rPr>
          <w:rFonts w:cs="Arial"/>
          <w:i/>
        </w:rPr>
      </w:r>
    </w:p>
    <w:p>
      <w:pPr>
        <w:widowControl w:val="false"/>
        <w:spacing w:after="0" w:line="240" w:lineRule="auto"/>
        <w:rPr>
          <w:rFonts w:cs="Arial"/>
        </w:rPr>
      </w:pPr>
    </w:p>
    <w:tbl>
      <w:tblPr>
        <w:tblW w:w="5000" w:type="pct"/>
        <w:tblInd w:w="115" w:type="dxa"/>
        <w:tblLook w:firstRow="1" w:lastRow="1" w:firstColumn="1" w:lastColumn="1" w:noHBand="0" w:noVBand="0" w:val="01E0"/>
      </w:tblPr>
      <w:tblGrid>
        <w:gridCol w:w="8010"/>
        <w:gridCol w:w="1566"/>
      </w:tblGrid>
      <w:tr>
        <w:tc>
          <w:tcPr>
            <w:tcW w:w="9576" w:type="dxa"/>
            <w:gridSpan w:val="2"/>
          </w:tcPr>
          <w:p>
            <w:pPr>
              <w:keepNext/>
              <w:widowControl w:val="false"/>
              <w:spacing w:after="0" w:line="240" w:lineRule="auto"/>
              <w:rPr>
                <w:rFonts w:cs="Arial"/>
              </w:rPr>
            </w:pPr>
            <w:r>
              <w:rPr>
                <w:rFonts w:cs="Arial"/>
              </w:rPr>
            </w:r>
          </w:p>
        </w:tc>
      </w:tr>
      <w:tr>
        <w:trPr>
          <w:cantSplit w:val="true"/>
        </w:trPr>
        <w:tc>
          <w:tcPr>
            <w:vAlign w:val="center"/>
          </w:tcPr>
          <w:p>
            <w:pPr>
              <w:spacing w:beforeAutospacing="true" w:afterAutospacing="true"/>
              <w:jc w:val="left"/>
            </w:pPr>
            <w:r>
              <w:rPr>
                <w:rFonts w:ascii="Calibri" w:hAnsi="Calibri"/>
                <w:color w:val="000000"/>
                <w:sz w:val="22"/>
              </w:rPr>
              <w:t xml:space="preserve">1. The total amount of program income that will have been received before the start of the next program year and that has not yet been reprogrammed</w:t>
            </w:r>
          </w:p>
        </w:tc>
        <w:tc>
          <w:tcPr>
            <w:vAlign w:val="bottom"/>
          </w:tcPr>
          <w:p>
            <w:pPr>
              <w:spacing w:beforeAutospacing="true" w:afterAutospacing="true"/>
              <w:jc w:val="right"/>
            </w:pPr>
            <w:r>
              <w:rPr>
                <w:rFonts w:ascii="Calibri" w:hAnsi="Calibri"/>
                <w:color w:val="000000"/>
                <w:sz w:val="22"/>
              </w:rPr>
              <w:t xml:space="preserve">347,477</w:t>
            </w:r>
          </w:p>
        </w:tc>
      </w:tr>
      <w:tr>
        <w:trPr>
          <w:cantSplit w:val="true"/>
        </w:trPr>
        <w:tc>
          <w:tcPr>
            <w:vAlign w:val="center"/>
          </w:tcPr>
          <w:p>
            <w:pPr>
              <w:spacing w:beforeAutospacing="true" w:afterAutospacing="true"/>
              <w:jc w:val="left"/>
            </w:pPr>
            <w:r>
              <w:rPr>
                <w:rFonts w:ascii="Calibri" w:hAnsi="Calibri"/>
                <w:color w:val="000000"/>
                <w:sz w:val="22"/>
              </w:rPr>
              <w:t xml:space="preserve">2. The amount of proceeds from section 108 loan guarantees that will be used during the year to address the priority needs and specific objectives identified in the grantee's strategic plan.</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center"/>
          </w:tcPr>
          <w:p>
            <w:pPr>
              <w:spacing w:beforeAutospacing="true" w:afterAutospacing="true"/>
              <w:jc w:val="left"/>
            </w:pPr>
            <w:r>
              <w:rPr>
                <w:rFonts w:ascii="Calibri" w:hAnsi="Calibri"/>
                <w:color w:val="000000"/>
                <w:sz w:val="22"/>
              </w:rPr>
              <w:t xml:space="preserve">3. The amount of surplus funds from urban renewal settlements</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center"/>
          </w:tcPr>
          <w:p>
            <w:pPr>
              <w:spacing w:beforeAutospacing="true" w:afterAutospacing="true"/>
              <w:jc w:val="left"/>
            </w:pPr>
            <w:r>
              <w:rPr>
                <w:rFonts w:ascii="Calibri" w:hAnsi="Calibri"/>
                <w:color w:val="000000"/>
                <w:sz w:val="22"/>
              </w:rPr>
              <w:t xml:space="preserve">4. The amount of any grant funds returned to the line of credit for which the planned use has not been included in a prior statement or plan</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center"/>
          </w:tcPr>
          <w:p>
            <w:pPr>
              <w:spacing w:beforeAutospacing="true" w:afterAutospacing="true"/>
              <w:jc w:val="left"/>
            </w:pPr>
            <w:r>
              <w:rPr>
                <w:rFonts w:ascii="Calibri" w:hAnsi="Calibri"/>
                <w:color w:val="000000"/>
                <w:sz w:val="22"/>
              </w:rPr>
              <w:t xml:space="preserve">5. The amount of income from float-funded activities</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center"/>
          </w:tcPr>
          <w:p>
            <w:pPr>
              <w:spacing w:beforeAutospacing="true" w:afterAutospacing="true"/>
              <w:jc w:val="left"/>
            </w:pPr>
            <w:r>
              <w:rPr>
                <w:rFonts w:ascii="Calibri" w:hAnsi="Calibri"/>
                <w:b/>
                <w:color w:val="000000"/>
                <w:sz w:val="22"/>
              </w:rPr>
              <w:t xml:space="preserve">Total Program Income:</w:t>
            </w:r>
          </w:p>
        </w:tc>
        <w:tc>
          <w:tcPr>
            <w:vAlign w:val="center"/>
          </w:tcPr>
          <w:p>
            <w:pPr>
              <w:spacing w:beforeAutospacing="true" w:afterAutospacing="true"/>
              <w:jc w:val="right"/>
            </w:pPr>
            <w:r>
              <w:rPr>
                <w:rFonts w:ascii="Calibri" w:hAnsi="Calibri"/>
                <w:b/>
                <w:color w:val="000000"/>
                <w:sz w:val="22"/>
              </w:rPr>
              <w:t xml:space="preserve">347,477</w:t>
            </w:r>
          </w:p>
        </w:tc>
      </w:tr>
    </w:tbl>
    <w:p>
      <w:pPr>
        <w:keepNext/>
        <w:widowControl w:val="false"/>
        <w:spacing w:after="0" w:line="240" w:lineRule="auto"/>
        <w:rPr>
          <w:rFonts w:cs="Arial"/>
        </w:rPr>
      </w:pPr>
    </w:p>
    <w:p>
      <w:pPr>
        <w:keepNext/>
        <w:widowControl w:val="false"/>
        <w:spacing w:after="0" w:line="240" w:lineRule="auto"/>
        <w:jc w:val="center"/>
        <w:rPr>
          <w:rFonts w:cs="Arial"/>
          <w:b/>
          <w:sz w:val="24"/>
          <w:szCs w:val="24"/>
        </w:rPr>
      </w:pPr>
      <w:r>
        <w:rPr>
          <w:rFonts w:cs="Arial"/>
          <w:b/>
          <w:sz w:val="24"/>
          <w:szCs w:val="24"/>
        </w:rPr>
        <w:t>Other CDBG Requirements</w:t>
      </w:r>
      <w:r>
        <w:rPr>
          <w:i/>
        </w:rPr>
        <w:t xml:space="preserve"> </w:t>
      </w:r>
      <w:r>
        <w:rPr>
          <w:rFonts w:cs="Arial"/>
          <w:b/>
          <w:i/>
          <w:sz w:val="24"/>
          <w:szCs w:val="24"/>
        </w:rPr>
      </w:r>
    </w:p>
    <w:tbl>
      <w:tblPr>
        <w:tblW w:w="5000" w:type="pct"/>
        <w:tblInd w:w="115" w:type="dxa"/>
        <w:tblLook w:firstRow="1" w:lastRow="1" w:firstColumn="1" w:lastColumn="1" w:noHBand="0" w:noVBand="0" w:val="01E0"/>
      </w:tblPr>
      <w:tblGrid>
        <w:gridCol w:w="7916"/>
        <w:gridCol w:w="1660"/>
      </w:tblGrid>
      <w:tr>
        <w:tc>
          <w:tcPr>
            <w:tcW w:w="9576" w:type="dxa"/>
            <w:gridSpan w:val="2"/>
          </w:tcPr>
          <w:p>
            <w:pPr>
              <w:keepNext/>
              <w:widowControl w:val="false"/>
              <w:spacing w:after="0" w:line="240" w:lineRule="auto"/>
              <w:rPr>
                <w:rFonts w:cs="Arial"/>
              </w:rPr>
            </w:pPr>
            <w:r>
              <w:rPr>
                <w:rFonts w:cs="Arial"/>
              </w:rPr>
            </w:r>
          </w:p>
        </w:tc>
      </w:tr>
      <w:tr>
        <w:trPr>
          <w:cantSplit w:val="true"/>
        </w:trPr>
        <w:tc>
          <w:tcPr>
            <w:vAlign w:val="top"/>
          </w:tcPr>
          <w:p>
            <w:pPr>
              <w:spacing w:beforeAutospacing="true" w:afterAutospacing="true"/>
              <w:jc w:val="left"/>
            </w:pPr>
            <w:r>
              <w:rPr>
                <w:rFonts w:ascii="Calibri" w:hAnsi="Calibri"/>
                <w:color w:val="000000"/>
                <w:sz w:val="22"/>
              </w:rPr>
              <w:t xml:space="preserve">1. The amount of urgent need activities</w:t>
            </w:r>
          </w:p>
        </w:tc>
        <w:tc>
          <w:tcPr>
            <w:vAlign w:val="bottom"/>
          </w:tcPr>
          <w:p>
            <w:pPr>
              <w:spacing w:beforeAutospacing="true" w:afterAutospacing="true"/>
              <w:jc w:val="right"/>
            </w:pPr>
            <w:r>
              <w:rPr>
                <w:rFonts w:ascii="Calibri" w:hAnsi="Calibri"/>
                <w:color w:val="000000"/>
                <w:sz w:val="22"/>
              </w:rPr>
              <w:t xml:space="preserve">0</w:t>
            </w:r>
          </w:p>
        </w:tc>
      </w:tr>
    </w:tbl>
    <w:p>
      <w:pPr>
        <w:widowControl w:val="false"/>
        <w:spacing w:after="0" w:line="240" w:lineRule="auto"/>
        <w:rPr>
          <w:rFonts w:cs="Arial"/>
          <w:vanish/>
          <w:sz w:val="4"/>
          <w:szCs w:val="4"/>
        </w:rPr>
      </w:pPr>
    </w:p>
    <w:p>
      <w:pPr>
        <w:spacing w:after="0" w:line="240" w:lineRule="auto"/>
        <w:rPr>
          <w:rFonts w:cs="Arial"/>
        </w:rPr>
      </w:pPr>
    </w:p>
    <w:tbl>
      <w:tblPr>
        <w:tblW w:w="4999" w:type="pct"/>
        <w:tblInd w:w="115" w:type="dxa"/>
        <w:tblLayout w:type="fixed"/>
        <w:tblCellMar>
          <w:left w:w="115" w:type="dxa"/>
          <w:right w:w="115" w:type="dxa"/>
        </w:tblCellMar>
        <w:tblLook w:firstRow="1" w:lastRow="1" w:firstColumn="1" w:lastColumn="1" w:noHBand="0" w:noVBand="0" w:val="01E0"/>
      </w:tblPr>
      <w:tblGrid>
        <w:gridCol w:w="7923"/>
        <w:gridCol w:w="1665"/>
      </w:tblGrid>
      <w:tr>
        <w:tc>
          <w:tcPr>
            <w:tcW w:w="7924" w:type="dxa"/>
          </w:tcPr>
          <w:p>
            <w:pPr>
              <w:keepNext/>
              <w:widowControl w:val="false"/>
              <w:spacing w:after="0" w:line="240" w:lineRule="auto"/>
              <w:rPr>
                <w:rFonts w:cs="Arial"/>
              </w:rPr>
            </w:pPr>
            <w:r>
              <w:rPr>
                <w:rFonts w:cs="Arial"/>
              </w:rPr>
            </w:r>
          </w:p>
        </w:tc>
        <w:tc>
          <w:tcPr>
            <w:tcW w:w="1665" w:type="dxa"/>
          </w:tcPr>
          <w:p>
            <w:pPr>
              <w:keepNext/>
              <w:widowControl w:val="false"/>
              <w:spacing w:after="0" w:line="240" w:lineRule="auto"/>
              <w:rPr>
                <w:rFonts w:cs="Arial"/>
              </w:rPr>
            </w:pPr>
          </w:p>
        </w:tc>
      </w:tr>
      <w:tr>
        <w:trPr>
          <w:cantSplit w:val="true"/>
        </w:trPr>
        <w:tc>
          <w:tcPr>
            <w:vAlign w:val="top"/>
          </w:tcPr>
          <w:p>
            <w:pPr>
              <w:spacing w:beforeAutospacing="true" w:afterAutospacing="true"/>
              <w:jc w:val="left"/>
            </w:pPr>
            <w:r>
              <w:rPr>
                <w:rFonts w:ascii="Calibri" w:hAnsi="Calibri"/>
                <w:color w:val="000000"/>
                <w:sz w:val="22"/>
              </w:rPr>
              <w:t xml:space="preserve">2. The estimated percentage of CDBG funds that will be used for activities that benefit persons of low and moderate income.Overall Benefit - A consecutive period of one, two or three years may be used to determine that a minimum overall benefit of 70% of CDBG funds is used to benefit persons of low and moderate income. Specify the years covered that include this Annual Action Plan.</w:t>
            </w:r>
          </w:p>
        </w:tc>
        <w:tc>
          <w:tcPr>
            <w:vAlign w:val="bottom"/>
          </w:tcPr>
          <w:p>
            <w:pPr>
              <w:spacing w:beforeAutospacing="true" w:afterAutospacing="true"/>
              <w:jc w:val="right"/>
            </w:pPr>
            <w:r>
              <w:rPr>
                <w:rFonts w:ascii="Calibri" w:hAnsi="Calibri"/>
                <w:color w:val="000000"/>
                <w:sz w:val="22"/>
              </w:rPr>
              <w:t xml:space="preserve">98.00%</w:t>
            </w:r>
          </w:p>
        </w:tc>
      </w:tr>
    </w:tbl>
    <w:p>
      <w:pPr>
        <w:spacing w:after="0" w:line="240" w:lineRule="auto"/>
        <w:rPr>
          <w:rFonts w:cs="Arial"/>
        </w:rPr>
      </w:pPr>
    </w:p>
    <w:p>
      <w:pPr>
        <w:spacing w:after="0" w:line="240" w:lineRule="auto"/>
        <w:rPr>
          <w:rFonts w:cs="Arial"/>
        </w:rPr>
      </w:pPr>
    </w:p>
    <w:p>
      <w:pPr>
        <w:spacing w:after="0" w:line="240" w:lineRule="auto"/>
        <w:rPr>
          <w:rFonts w:cs="Arial"/>
        </w:rPr>
      </w:pPr>
    </w:p>
    <w:p>
      <w:pPr>
        <w:keepNext/>
        <w:spacing w:after="0" w:line="240" w:lineRule="auto"/>
        <w:jc w:val="center"/>
        <w:rPr>
          <w:rFonts w:cs="Arial"/>
          <w:b/>
          <w:sz w:val="24"/>
          <w:szCs w:val="24"/>
        </w:rPr>
      </w:pPr>
      <w:r>
        <w:rPr>
          <w:rFonts w:cs="Arial"/>
          <w:b/>
          <w:sz w:val="24"/>
          <w:szCs w:val="24"/>
        </w:rPr>
        <w:t>HOME Investment Partnership Program (HOME)</w:t>
      </w:r>
      <w:r>
        <w:rPr>
          <w:i/>
        </w:rPr>
        <w:t xml:space="preserve"> </w:t>
      </w:r>
      <w:r>
        <w:rPr>
          <w:rFonts w:cs="Arial"/>
          <w:b/>
          <w:i/>
          <w:sz w:val="24"/>
          <w:szCs w:val="24"/>
        </w:rPr>
      </w:r>
    </w:p>
    <w:p>
      <w:pPr>
        <w:keepNext/>
        <w:spacing w:after="0" w:line="240" w:lineRule="auto"/>
        <w:jc w:val="center"/>
        <w:rPr>
          <w:rFonts w:cs="Arial"/>
          <w:b/>
          <w:sz w:val="24"/>
          <w:szCs w:val="24"/>
        </w:rPr>
      </w:pPr>
      <w:r>
        <w:rPr>
          <w:rFonts w:cs="Arial"/>
          <w:b/>
          <w:sz w:val="24"/>
          <w:szCs w:val="24"/>
        </w:rPr>
        <w:t>Reference 24 CFR 91.220(l)(2)</w:t>
      </w:r>
      <w:r>
        <w:rPr>
          <w:i/>
        </w:rPr>
        <w:t xml:space="preserve"> </w:t>
      </w:r>
      <w:r>
        <w:rPr>
          <w:rFonts w:cs="Arial"/>
          <w:b/>
          <w:i/>
          <w:sz w:val="24"/>
          <w:szCs w:val="24"/>
        </w:rPr>
      </w:r>
    </w:p>
    <w:p>
      <w:pPr>
        <w:keepNext/>
        <w:widowControl w:val="false"/>
        <w:numPr>
          <w:ilvl w:val="0"/>
          <w:numId w:val="13"/>
        </w:numPr>
        <w:spacing w:after="0" w:line="240" w:lineRule="auto"/>
        <w:rPr>
          <w:rFonts w:cs="Arial"/>
        </w:rPr>
      </w:pPr>
      <w:r>
        <w:rPr>
          <w:rFonts w:cs="Arial"/>
        </w:rPr>
        <w:t>A description of other forms of investment being used beyond those identified in Section 92.205 is as follows:</w:t>
      </w:r>
      <w:r>
        <w:rPr>
          <w:i/>
        </w:rPr>
        <w:t xml:space="preserve"> </w:t>
      </w:r>
      <w:r>
        <w:rPr>
          <w:rFonts w:cs="Arial"/>
          <w:i/>
        </w:rPr>
      </w:r>
    </w:p>
    <w:p>
      <w:pPr>
        <w:keepNext/>
        <w:widowControl w:val="false"/>
        <w:spacing w:beforeAutospacing="true" w:afterAutospacing="true"/>
        <w:ind w:left="360"/>
        <w:rPr>
          <w:rFonts w:cs="Arial"/>
        </w:rPr>
      </w:pPr>
      <w:r>
        <w:rPr>
          <w:rFonts w:cs="Arial"/>
        </w:rPr>
        <w:t xml:space="preserve">For GHHI Salt Lake HOME funds have been combined with foundation, donated labor and materials, and other short term financing provided through industrial banks.</w:t>
      </w:r>
    </w:p>
    <w:p>
      <w:pPr>
        <w:keepNext/>
        <w:widowControl w:val="false"/>
        <w:spacing w:beforeAutospacing="true" w:afterAutospacing="true"/>
        <w:ind w:left="360"/>
        <w:rPr>
          <w:rFonts w:cs="Arial"/>
        </w:rPr>
      </w:pPr>
      <w:r>
        <w:rPr>
          <w:rFonts w:cs="Arial"/>
        </w:rPr>
        <w:t xml:space="preserve">For rental housing developments, the most common other funding consists of Low Income Housing Tax Credits, and the State of Utah Olene Walker funding</w:t>
      </w:r>
    </w:p>
    <w:p>
      <w:pPr>
        <w:keepNext/>
        <w:widowControl w:val="false"/>
        <w:spacing w:beforeAutospacing="true" w:afterAutospacing="true"/>
        <w:ind w:left="360"/>
        <w:rPr>
          <w:rFonts w:cs="Arial"/>
        </w:rPr>
      </w:pPr>
    </w:p>
    <w:p>
      <w:pPr>
        <w:spacing w:after="0" w:line="240" w:lineRule="auto"/>
        <w:rPr>
          <w:rFonts w:cs="Arial"/>
        </w:rPr>
      </w:pPr>
    </w:p>
    <w:p>
      <w:pPr>
        <w:keepNext/>
        <w:widowControl w:val="false"/>
        <w:numPr>
          <w:ilvl w:val="0"/>
          <w:numId w:val="13"/>
        </w:numPr>
        <w:spacing w:after="0" w:line="240" w:lineRule="auto"/>
        <w:rPr>
          <w:rFonts w:cs="Arial"/>
        </w:rPr>
      </w:pPr>
      <w:r>
        <w:rPr>
          <w:rFonts w:cs="Arial"/>
        </w:rPr>
        <w:t>A description of the guidelines that will be used for resale or recapture of HOME funds when used for homebuyer activities as required in 92.254, is as follows:</w:t>
      </w:r>
      <w:r>
        <w:rPr>
          <w:i/>
        </w:rPr>
        <w:t xml:space="preserve"> </w:t>
      </w:r>
      <w:r>
        <w:rPr>
          <w:rFonts w:cs="Arial"/>
          <w:i/>
        </w:rPr>
      </w:r>
    </w:p>
    <w:p>
      <w:pPr>
        <w:keepNext/>
        <w:widowControl w:val="false"/>
        <w:spacing w:beforeAutospacing="true" w:afterAutospacing="true"/>
        <w:ind w:left="360"/>
        <w:rPr>
          <w:rFonts w:cs="Arial"/>
        </w:rPr>
      </w:pPr>
      <w:r>
        <w:rPr>
          <w:rFonts w:cs="Arial"/>
          <w:b/>
        </w:rPr>
        <w:t xml:space="preserve">Salt Lake County Consortium Recapture guidelines</w:t>
      </w:r>
    </w:p>
    <w:p>
      <w:pPr>
        <w:keepNext/>
        <w:widowControl w:val="false"/>
        <w:spacing w:beforeAutospacing="true" w:afterAutospacing="true"/>
        <w:ind w:left="360"/>
        <w:rPr>
          <w:rFonts w:cs="Arial"/>
        </w:rPr>
      </w:pPr>
      <w:r>
        <w:rPr>
          <w:rFonts w:cs="Arial"/>
        </w:rPr>
        <w:t xml:space="preserve">Salt Lake County will follow and implement the HOME recapture provisions established at §92.254.</w:t>
      </w:r>
      <w:r>
        <w:rPr>
          <w:rFonts w:cs="Arial"/>
          <w:b/>
          <w:i/>
        </w:rPr>
        <w:t xml:space="preserve"> </w:t>
      </w:r>
      <w:r>
        <w:rPr>
          <w:rFonts w:cs="Arial"/>
        </w:rPr>
        <w:t xml:space="preserve">If the property sells before the end of the affordability period Salt Lake County will recapture the full amount of HOME funds invested in the home.</w:t>
      </w:r>
    </w:p>
    <w:p>
      <w:pPr>
        <w:keepNext/>
        <w:widowControl w:val="false"/>
        <w:spacing w:beforeAutospacing="true" w:afterAutospacing="true"/>
        <w:ind w:left="360"/>
        <w:rPr>
          <w:rFonts w:cs="Arial"/>
        </w:rPr>
      </w:pPr>
      <w:r>
        <w:rPr>
          <w:rFonts w:cs="Arial"/>
        </w:rPr>
        <w:t xml:space="preserve">In the current 2020 Salt Lake County Consortium Consolidated Action Plans:</w:t>
      </w:r>
    </w:p>
    <w:p>
      <w:pPr>
        <w:numPr>
          <w:ilvl w:val="0"/>
          <w:numId w:val="26"/>
        </w:numPr>
        <w:spacing w:beforeAutospacing="true" w:afterAutospacing="true"/>
      </w:pPr>
      <w:r>
        <w:rPr>
          <w:rFonts w:cs="Arial"/>
        </w:rPr>
        <w:t xml:space="preserve">Salt  Lake County has allocated HOME funds to and contracted with Community Development Corporation to provide downpayment assistance loans and provide housing rehabilitation loans to qualified recipients.</w:t>
      </w:r>
    </w:p>
    <w:p>
      <w:pPr>
        <w:numPr>
          <w:ilvl w:val="0"/>
          <w:numId w:val="26"/>
        </w:numPr>
        <w:spacing w:beforeAutospacing="true" w:afterAutospacing="true"/>
      </w:pPr>
      <w:r>
        <w:rPr>
          <w:rFonts w:cs="Arial"/>
        </w:rPr>
        <w:t xml:space="preserve">Taylorsville City allocates its portion of HOME funds to be administered by Community Development Corporation  of Utah for funding of a downpayment assistance program.</w:t>
      </w:r>
    </w:p>
    <w:p>
      <w:pPr>
        <w:numPr>
          <w:ilvl w:val="0"/>
          <w:numId w:val="26"/>
        </w:numPr>
        <w:spacing w:beforeAutospacing="true" w:afterAutospacing="true"/>
      </w:pPr>
      <w:r>
        <w:rPr>
          <w:rFonts w:cs="Arial"/>
        </w:rPr>
        <w:t xml:space="preserve"> Salt Lake County has allocated HOME funds to Salt Lake Valley Habitat for Humanity to provide rehabilitation loans</w:t>
      </w:r>
    </w:p>
    <w:p>
      <w:pPr>
        <w:numPr>
          <w:ilvl w:val="0"/>
          <w:numId w:val="26"/>
        </w:numPr>
        <w:spacing w:beforeAutospacing="true" w:afterAutospacing="true"/>
      </w:pPr>
      <w:r>
        <w:rPr>
          <w:rFonts w:cs="Arial"/>
        </w:rPr>
        <w:t xml:space="preserve">Salt Lake County has allocated HOME funds to Assist Inc. to provide housing rehabilitation loans.</w:t>
      </w:r>
    </w:p>
    <w:p>
      <w:pPr>
        <w:numPr>
          <w:ilvl w:val="0"/>
          <w:numId w:val="26"/>
        </w:numPr>
        <w:spacing w:beforeAutospacing="true" w:afterAutospacing="true"/>
      </w:pPr>
      <w:r>
        <w:rPr>
          <w:rFonts w:cs="Arial"/>
        </w:rPr>
        <w:t xml:space="preserve">West Valley City uses a portion of its allocation of HOME funds to provide housing rehabilitation loans and downpayment assistance loans.</w:t>
      </w:r>
    </w:p>
    <w:p>
      <w:pPr>
        <w:keepNext/>
        <w:widowControl w:val="false"/>
        <w:spacing w:beforeAutospacing="true" w:afterAutospacing="true"/>
        <w:ind w:left="360"/>
        <w:rPr>
          <w:rFonts w:cs="Arial"/>
        </w:rPr>
      </w:pPr>
      <w:r>
        <w:rPr>
          <w:rFonts w:cs="Arial"/>
        </w:rPr>
        <w:t xml:space="preserve">For its housing rehabilitation and downpayment assistance programs, Salt Lake County will recapture all of the HOME-assistance provided to the original homebuyer and homeowner</w:t>
      </w:r>
    </w:p>
    <w:p>
      <w:pPr>
        <w:keepNext/>
        <w:widowControl w:val="false"/>
        <w:spacing w:beforeAutospacing="true" w:afterAutospacing="true"/>
        <w:ind w:left="360"/>
        <w:rPr>
          <w:rFonts w:cs="Arial"/>
        </w:rPr>
      </w:pPr>
      <w:r>
        <w:rPr>
          <w:rFonts w:cs="Arial"/>
        </w:rPr>
        <w:t xml:space="preserve">The Salt Lake County HOME funded contracts for each of the organizations listed above contain these recapture guidelines.</w:t>
      </w:r>
    </w:p>
    <w:p>
      <w:pPr>
        <w:keepNext/>
        <w:widowControl w:val="false"/>
        <w:spacing w:beforeAutospacing="true" w:afterAutospacing="true"/>
        <w:ind w:left="360"/>
        <w:rPr>
          <w:rFonts w:cs="Arial"/>
        </w:rPr>
      </w:pPr>
      <w:r>
        <w:rPr>
          <w:rFonts w:cs="Arial"/>
        </w:rPr>
        <w:t xml:space="preserve">Salt Lake County will require that each organization listed above will have each household assisted sign a clear, detailed written agreement ensures that all parties are aware of the specific HOME requirements applicable to the unit (recapture requirement), and helps Salt Lake County enforce those requirements. </w:t>
      </w:r>
    </w:p>
    <w:p>
      <w:pPr>
        <w:keepNext/>
        <w:widowControl w:val="false"/>
        <w:spacing w:beforeAutospacing="true" w:afterAutospacing="true"/>
        <w:ind w:left="360"/>
        <w:rPr>
          <w:rFonts w:cs="Arial"/>
        </w:rPr>
      </w:pPr>
      <w:r>
        <w:rPr>
          <w:rFonts w:cs="Arial"/>
        </w:rPr>
        <w:t xml:space="preserve">If the ownership of the housing is conveyed pursuant to a foreclosure or other involuntary sale, Salt Lake will attempt to recoup any net proceeds that may be available through the foreclosure sale.  Because all recapture provisions must be limited to net proceeds, Salt Lake County’s repayment obligation is limited to the amount of the HOME subsidy, if any, that it is able to recover. Net proceeds is defined as the sales price minus the mortgage(s) minus any sales commission, and closing costs.</w:t>
      </w:r>
    </w:p>
    <w:p>
      <w:pPr>
        <w:keepNext/>
        <w:widowControl w:val="false"/>
        <w:spacing w:beforeAutospacing="true" w:afterAutospacing="true"/>
        <w:ind w:left="360"/>
        <w:rPr>
          <w:rFonts w:cs="Arial"/>
        </w:rPr>
      </w:pPr>
      <w:r>
        <w:rPr>
          <w:rFonts w:cs="Arial"/>
        </w:rPr>
        <w:t xml:space="preserve">On rare occasions the house may be sold for less than what the total of the outstanding balance of the mortgages (including the Salt Lake County loan for down payment assistance or housing rehabilitation loan) which are owed.</w:t>
      </w:r>
    </w:p>
    <w:p>
      <w:pPr>
        <w:keepNext/>
        <w:widowControl w:val="false"/>
        <w:spacing w:beforeAutospacing="true" w:afterAutospacing="true"/>
        <w:ind w:left="360"/>
        <w:rPr>
          <w:rFonts w:cs="Arial"/>
        </w:rPr>
      </w:pPr>
      <w:r>
        <w:rPr>
          <w:rFonts w:cs="Arial"/>
        </w:rPr>
        <w:t xml:space="preserve">Once the net proceeds are identified the homeowner may recover his/her investment (downpayment and principal paydown) in the property. After the homeowner has recovered their investment if there any remaining net proceeds they will be shared per the formula listed below.</w:t>
      </w:r>
    </w:p>
    <w:p>
      <w:pPr>
        <w:keepNext/>
        <w:widowControl w:val="false"/>
        <w:spacing w:beforeAutospacing="true" w:afterAutospacing="true"/>
        <w:ind w:left="360"/>
        <w:rPr>
          <w:rFonts w:cs="Arial"/>
        </w:rPr>
      </w:pPr>
      <w:r>
        <w:rPr>
          <w:rFonts w:cs="Arial"/>
          <w:u w:val="single"/>
        </w:rPr>
        <w:t xml:space="preserve">HOME Investment                                         </w:t>
      </w:r>
      <w:r>
        <w:rPr>
          <w:rFonts w:cs="Arial"/>
        </w:rPr>
        <w:t xml:space="preserve"> </w:t>
      </w:r>
    </w:p>
    <w:p>
      <w:pPr>
        <w:keepNext/>
        <w:widowControl w:val="false"/>
        <w:spacing w:beforeAutospacing="true" w:afterAutospacing="true"/>
        <w:ind w:left="360"/>
        <w:rPr>
          <w:rFonts w:cs="Arial"/>
        </w:rPr>
      </w:pPr>
      <w:r>
        <w:rPr>
          <w:rFonts w:cs="Arial"/>
        </w:rPr>
        <w:t xml:space="preserve">HOME Investment + Homeowner Investment     x  Net Proceeds = HOME $ to be recaptured</w:t>
      </w:r>
    </w:p>
    <w:p>
      <w:pPr>
        <w:keepNext/>
        <w:widowControl w:val="false"/>
        <w:spacing w:beforeAutospacing="true" w:afterAutospacing="true"/>
        <w:ind w:left="360"/>
        <w:rPr>
          <w:rFonts w:cs="Arial"/>
        </w:rPr>
      </w:pPr>
      <w:r>
        <w:rPr>
          <w:rFonts w:cs="Arial"/>
        </w:rPr>
        <w:t xml:space="preserve"> </w:t>
      </w:r>
    </w:p>
    <w:p>
      <w:pPr>
        <w:keepNext/>
        <w:widowControl w:val="false"/>
        <w:spacing w:beforeAutospacing="true" w:afterAutospacing="true"/>
        <w:ind w:left="360"/>
        <w:rPr>
          <w:rFonts w:cs="Arial"/>
        </w:rPr>
      </w:pPr>
      <w:r>
        <w:rPr>
          <w:rFonts w:cs="Arial"/>
          <w:u w:val="single"/>
        </w:rPr>
        <w:t xml:space="preserve">Homeowner Investment                                   </w:t>
      </w:r>
    </w:p>
    <w:p>
      <w:pPr>
        <w:keepNext/>
        <w:widowControl w:val="false"/>
        <w:spacing w:beforeAutospacing="true" w:afterAutospacing="true"/>
        <w:ind w:left="360"/>
        <w:rPr>
          <w:rFonts w:cs="Arial"/>
        </w:rPr>
      </w:pPr>
      <w:r>
        <w:rPr>
          <w:rFonts w:cs="Arial"/>
        </w:rPr>
        <w:t xml:space="preserve">HOME Investment + Homeowner Investment  x Net Proceeds = Amount to Homeowner                </w:t>
      </w:r>
    </w:p>
    <w:p>
      <w:pPr>
        <w:keepNext/>
        <w:widowControl w:val="false"/>
        <w:spacing w:beforeAutospacing="true" w:afterAutospacing="true"/>
        <w:ind w:left="360"/>
        <w:rPr>
          <w:rFonts w:cs="Arial"/>
        </w:rPr>
      </w:pPr>
    </w:p>
    <w:p>
      <w:pPr>
        <w:keepNext/>
        <w:widowControl w:val="false"/>
        <w:spacing w:beforeAutospacing="true" w:afterAutospacing="true"/>
        <w:ind w:left="360"/>
        <w:rPr>
          <w:rFonts w:cs="Arial"/>
        </w:rPr>
      </w:pPr>
    </w:p>
    <w:p>
      <w:pPr>
        <w:spacing w:after="0" w:line="240" w:lineRule="auto"/>
        <w:rPr>
          <w:rFonts w:cs="Arial"/>
        </w:rPr>
      </w:pPr>
    </w:p>
    <w:p>
      <w:pPr>
        <w:keepNext/>
        <w:widowControl w:val="false"/>
        <w:numPr>
          <w:ilvl w:val="0"/>
          <w:numId w:val="13"/>
        </w:numPr>
        <w:spacing w:after="0" w:line="240" w:lineRule="auto"/>
        <w:rPr>
          <w:rFonts w:cs="Arial"/>
        </w:rPr>
      </w:pPr>
      <w:r>
        <w:rPr>
          <w:rFonts w:cs="Arial"/>
        </w:rPr>
        <w:t>A description of the guidelines for resale or recapture that ensures the affordability of units acquired with HOME funds? See 24 CFR 92.254(a)(4) are as follows:</w:t>
      </w:r>
      <w:r>
        <w:rPr>
          <w:i/>
        </w:rPr>
        <w:t xml:space="preserve"> </w:t>
      </w:r>
      <w:r>
        <w:rPr>
          <w:rFonts w:cs="Arial"/>
          <w:i/>
        </w:rPr>
      </w:r>
    </w:p>
    <w:p>
      <w:pPr>
        <w:keepNext/>
        <w:widowControl w:val="false"/>
        <w:spacing w:beforeAutospacing="true" w:afterAutospacing="true"/>
        <w:ind w:left="360"/>
        <w:rPr>
          <w:rFonts w:cs="Arial"/>
        </w:rPr>
      </w:pPr>
      <w:r>
        <w:rPr>
          <w:rFonts w:cs="Arial"/>
          <w:b/>
        </w:rPr>
        <w:t xml:space="preserve">             </w:t>
      </w:r>
    </w:p>
    <w:p>
      <w:pPr>
        <w:keepNext/>
        <w:widowControl w:val="false"/>
        <w:spacing w:beforeAutospacing="true" w:afterAutospacing="true"/>
        <w:ind w:left="360"/>
        <w:rPr>
          <w:rFonts w:cs="Arial"/>
        </w:rPr>
      </w:pPr>
      <w:r>
        <w:rPr>
          <w:rFonts w:cs="Arial"/>
        </w:rPr>
        <w:t xml:space="preserve"> Sa</w:t>
      </w:r>
      <w:r>
        <w:rPr>
          <w:rFonts w:cs="Arial"/>
          <w:b/>
        </w:rPr>
        <w:t xml:space="preserve">lt Lake County will follow the requirements of 92.254 (a)(4)</w:t>
      </w:r>
    </w:p>
    <w:p>
      <w:pPr>
        <w:keepNext/>
        <w:widowControl w:val="false"/>
        <w:spacing w:beforeAutospacing="true" w:afterAutospacing="true"/>
        <w:ind w:left="360"/>
        <w:rPr>
          <w:rFonts w:cs="Arial"/>
        </w:rPr>
      </w:pPr>
      <w:r>
        <w:rPr>
          <w:rFonts w:cs="Arial"/>
        </w:rPr>
        <w:t xml:space="preserve">For homebuyer and rental projects, the length of the affordability period depends on the amount of the HOME investment in the property and the nature of the activity funded. Listed below arees the affordability periods. For rehabiliation the lenght of affordabiliyy is deermined by HOME Investment per Unit.</w:t>
      </w:r>
    </w:p>
    <w:p>
      <w:pPr>
        <w:keepNext/>
        <w:widowControl w:val="false"/>
        <w:spacing w:beforeAutospacing="true" w:afterAutospacing="true"/>
        <w:ind w:left="360"/>
        <w:rPr>
          <w:rFonts w:cs="Arial"/>
        </w:rPr>
      </w:pPr>
      <w:r>
        <w:rPr>
          <w:rFonts w:cs="Arial"/>
        </w:rPr>
        <w:t xml:space="preserve">Less than $15,000 5 years</w:t>
      </w:r>
    </w:p>
    <w:p>
      <w:pPr>
        <w:keepNext/>
        <w:widowControl w:val="false"/>
        <w:spacing w:beforeAutospacing="true" w:afterAutospacing="true"/>
        <w:ind w:left="360"/>
        <w:rPr>
          <w:rFonts w:cs="Arial"/>
        </w:rPr>
      </w:pPr>
      <w:r>
        <w:rPr>
          <w:rFonts w:cs="Arial"/>
        </w:rPr>
        <w:t xml:space="preserve">$15,000 - $40,000 10 years</w:t>
      </w:r>
    </w:p>
    <w:p>
      <w:pPr>
        <w:keepNext/>
        <w:widowControl w:val="false"/>
        <w:spacing w:beforeAutospacing="true" w:afterAutospacing="true"/>
        <w:ind w:left="360"/>
        <w:rPr>
          <w:rFonts w:cs="Arial"/>
        </w:rPr>
      </w:pPr>
      <w:r>
        <w:rPr>
          <w:rFonts w:cs="Arial"/>
        </w:rPr>
        <w:t xml:space="preserve">More than $40,000 15 years</w:t>
      </w:r>
    </w:p>
    <w:p>
      <w:pPr>
        <w:keepNext/>
        <w:widowControl w:val="false"/>
        <w:spacing w:beforeAutospacing="true" w:afterAutospacing="true"/>
        <w:ind w:left="360"/>
        <w:rPr>
          <w:rFonts w:cs="Arial"/>
        </w:rPr>
      </w:pPr>
      <w:r>
        <w:rPr>
          <w:rFonts w:cs="Arial"/>
        </w:rPr>
        <w:t xml:space="preserve">New construction 20 years</w:t>
      </w:r>
    </w:p>
    <w:p>
      <w:pPr>
        <w:keepNext/>
        <w:widowControl w:val="false"/>
        <w:spacing w:beforeAutospacing="true" w:afterAutospacing="true"/>
        <w:ind w:left="360"/>
        <w:rPr>
          <w:rFonts w:cs="Arial"/>
        </w:rPr>
      </w:pPr>
      <w:r>
        <w:rPr>
          <w:rFonts w:cs="Arial"/>
        </w:rPr>
        <w:t xml:space="preserve">Salt Lake County downpayment assistance program does not exceed $15,000 per unit, the lenght of affordability for downpayment assistance program is five year</w:t>
      </w:r>
    </w:p>
    <w:p>
      <w:pPr>
        <w:keepNext/>
        <w:widowControl w:val="false"/>
        <w:spacing w:beforeAutospacing="true" w:afterAutospacing="true"/>
        <w:ind w:left="360"/>
        <w:rPr>
          <w:rFonts w:cs="Arial"/>
        </w:rPr>
      </w:pPr>
      <w:r>
        <w:rPr>
          <w:rFonts w:cs="Arial"/>
        </w:rPr>
        <w:t xml:space="preserve">Salt Lake County housing rehabiltiation assistance wll vary, for project uncer $15,000 the lenght of affordability period will be five years, for rehabilitation rpojects over $15,000 and less than $40,000 the afforability period will be ten years, none of our single family housing rehabilitation projects will exceed $40,000. </w:t>
      </w:r>
    </w:p>
    <w:p>
      <w:pPr>
        <w:keepNext/>
        <w:widowControl w:val="false"/>
        <w:spacing w:beforeAutospacing="true" w:afterAutospacing="true"/>
        <w:ind w:left="360"/>
        <w:rPr>
          <w:rFonts w:cs="Arial"/>
        </w:rPr>
      </w:pPr>
      <w:r>
        <w:rPr>
          <w:rFonts w:cs="Arial"/>
        </w:rPr>
        <w:t xml:space="preserve">For rental housing development new construction projects will have deed restriction recorded to esnure the rental unt housing project is in compliance for twenty years.</w:t>
      </w:r>
    </w:p>
    <w:p>
      <w:pPr>
        <w:keepNext/>
        <w:widowControl w:val="false"/>
        <w:spacing w:beforeAutospacing="true" w:afterAutospacing="true"/>
        <w:ind w:left="360"/>
        <w:rPr>
          <w:rFonts w:cs="Arial"/>
        </w:rPr>
      </w:pPr>
      <w:r>
        <w:rPr>
          <w:rFonts w:cs="Arial"/>
        </w:rPr>
        <w:t xml:space="preserve">For the rehabilitation of rental units the afforability period will vary, actoring in subsidy limits and percentage of funding to determine the number of HOME assisted units. The total amount of HOME funds will then be dividied by the number of HOME assisted units to equal the subsidy limit accordaing to dollar amount. For example if the number of HOME assisted units in a project is 10 and the total amount of HOME funds is $300,000 the subsidy per unit is $30,0000 will have a ten year affordability priod enforced by a recorded deed restriction</w:t>
      </w:r>
    </w:p>
    <w:p>
      <w:pPr>
        <w:keepNext/>
        <w:widowControl w:val="false"/>
        <w:spacing w:beforeAutospacing="true" w:afterAutospacing="true"/>
        <w:ind w:left="360"/>
        <w:rPr>
          <w:rFonts w:cs="Arial"/>
        </w:rPr>
      </w:pPr>
      <w:r>
        <w:rPr>
          <w:rFonts w:cs="Arial"/>
        </w:rPr>
        <w:t xml:space="preserve"> </w:t>
      </w:r>
    </w:p>
    <w:p>
      <w:pPr>
        <w:spacing w:after="0" w:line="240" w:lineRule="auto"/>
        <w:rPr>
          <w:rFonts w:cs="Arial"/>
        </w:rPr>
      </w:pPr>
    </w:p>
    <w:p>
      <w:pPr>
        <w:keepNext/>
        <w:widowControl w:val="false"/>
        <w:numPr>
          <w:ilvl w:val="0"/>
          <w:numId w:val="13"/>
        </w:numPr>
        <w:spacing w:after="0" w:line="240" w:lineRule="auto"/>
        <w:rPr>
          <w:rFonts w:cs="Arial"/>
        </w:rPr>
      </w:pPr>
      <w:r>
        <w:rPr>
          <w:rFonts w:cs="Arial"/>
        </w:rPr>
        <w:t>Plans for using HOME funds to refinance existing debt secured by multifamily housing that is rehabilitated with HOME funds along with a description of the refinancing guidelines required that will be used under 24 CFR 92.206(b), are as follows:</w:t>
      </w:r>
      <w:r>
        <w:rPr>
          <w:i/>
        </w:rPr>
        <w:t xml:space="preserve"> </w:t>
      </w:r>
      <w:r>
        <w:rPr>
          <w:rFonts w:cs="Arial"/>
          <w:i/>
        </w:rPr>
      </w:r>
    </w:p>
    <w:p>
      <w:pPr>
        <w:keepNext/>
        <w:widowControl w:val="false"/>
        <w:spacing w:beforeAutospacing="true" w:afterAutospacing="true"/>
        <w:ind w:left="360"/>
        <w:rPr>
          <w:rFonts w:cs="Arial"/>
        </w:rPr>
      </w:pPr>
      <w:r>
        <w:rPr>
          <w:rFonts w:cs="Arial"/>
        </w:rPr>
        <w:t xml:space="preserve">There are no plans to use HOME funds to help refinance</w:t>
      </w:r>
    </w:p>
    <w:p>
      <w:pPr>
        <w:spacing w:after="0" w:line="240" w:lineRule="auto"/>
        <w:ind w:left="360"/>
        <w:rPr>
          <w:rFonts w:cs="Arial"/>
        </w:rPr>
      </w:pPr>
    </w:p>
    <w:p>
      <w:pPr>
        <w:keepNext/>
        <w:widowControl w:val="false"/>
        <w:spacing w:after="0" w:line="240" w:lineRule="auto"/>
        <w:jc w:val="center"/>
        <w:rPr>
          <w:rFonts w:cs="Arial"/>
          <w:b/>
          <w:sz w:val="24"/>
          <w:szCs w:val="24"/>
        </w:rPr>
      </w:pPr>
      <w:r>
        <w:rPr>
          <w:rFonts w:cs="Arial"/>
          <w:b/>
          <w:sz w:val="24"/>
          <w:szCs w:val="24"/>
        </w:rPr>
        <w:t>Emergency Solutions Grant (ESG)</w:t>
        <w:br/>
      </w:r>
      <w:r>
        <w:rPr>
          <w:b/>
          <w:sz w:val="24"/>
          <w:szCs w:val="24"/>
        </w:rPr>
        <w:t xml:space="preserve">Reference 91.220(l)(4)  </w:t>
      </w:r>
      <w:r>
        <w:rPr>
          <w:rFonts w:cs="Arial"/>
          <w:b/>
          <w:sz w:val="24"/>
          <w:szCs w:val="24"/>
        </w:rPr>
      </w:r>
    </w:p>
    <w:p>
      <w:pPr>
        <w:keepNext/>
        <w:widowControl w:val="false"/>
        <w:spacing w:after="0" w:line="240" w:lineRule="auto"/>
        <w:jc w:val="center"/>
        <w:rPr>
          <w:rFonts w:cs="Arial"/>
          <w:b/>
          <w:sz w:val="24"/>
          <w:szCs w:val="24"/>
        </w:rPr>
      </w:pPr>
    </w:p>
    <w:p>
      <w:pPr>
        <w:keepNext/>
        <w:widowControl w:val="false"/>
        <w:numPr>
          <w:ilvl w:val="0"/>
          <w:numId w:val="14"/>
        </w:numPr>
        <w:spacing w:after="0" w:line="240" w:lineRule="auto"/>
        <w:rPr>
          <w:rFonts w:cs="Arial"/>
        </w:rPr>
      </w:pPr>
      <w:r>
        <w:rPr>
          <w:sz w:val="24"/>
          <w:szCs w:val="24"/>
        </w:rPr>
        <w:t>Include written standards for providing ESG assistance (may include as attachment)</w:t>
      </w:r>
      <w:r>
        <w:rPr>
          <w:i/>
        </w:rPr>
        <w:t xml:space="preserve"> </w:t>
      </w:r>
      <w:r>
        <w:rPr>
          <w:i/>
          <w:sz w:val="24"/>
          <w:szCs w:val="24"/>
        </w:rPr>
      </w:r>
    </w:p>
    <w:p>
      <w:pPr>
        <w:keepNext/>
        <w:widowControl w:val="false"/>
        <w:spacing w:beforeAutospacing="true" w:afterAutospacing="true"/>
        <w:ind w:left="360"/>
        <w:rPr>
          <w:rFonts w:cs="Arial"/>
        </w:rPr>
      </w:pPr>
      <w:r>
        <w:rPr>
          <w:rFonts w:cs="Arial"/>
          <w:b/>
        </w:rPr>
        <w:t xml:space="preserve">In Attachment 2 is found the Salt Lake County Emergency Solutions Grant Policy and Procedures.</w:t>
      </w:r>
      <w:r>
        <w:rPr>
          <w:rFonts w:cs="Arial"/>
        </w:rPr>
        <w:t xml:space="preserve">  </w:t>
      </w:r>
    </w:p>
    <w:p>
      <w:pPr>
        <w:keepNext/>
        <w:widowControl w:val="false"/>
        <w:spacing w:beforeAutospacing="true" w:afterAutospacing="true"/>
        <w:ind w:left="360"/>
        <w:rPr>
          <w:rFonts w:cs="Arial"/>
        </w:rPr>
      </w:pPr>
    </w:p>
    <w:p>
      <w:pPr>
        <w:keepNext/>
        <w:widowControl w:val="false"/>
        <w:spacing w:beforeAutospacing="true" w:afterAutospacing="true"/>
        <w:ind w:left="360"/>
        <w:rPr>
          <w:rFonts w:cs="Arial"/>
        </w:rPr>
      </w:pPr>
      <w:r>
        <w:rPr>
          <w:rFonts w:cs="Arial"/>
        </w:rPr>
        <w:t xml:space="preserve">These fund are included as part of our streamlined funding process.  We have combined the funding from ESG, the 15% Public Service CDBG, and the Social Services Block grant funding to address our funding priorities to allow for more impactful outcomes for our County residents.  </w:t>
      </w:r>
    </w:p>
    <w:p>
      <w:pPr>
        <w:keepNext/>
        <w:widowControl w:val="false"/>
        <w:numPr>
          <w:ilvl w:val="0"/>
          <w:numId w:val="14"/>
        </w:numPr>
        <w:spacing w:after="0" w:line="240" w:lineRule="auto"/>
        <w:rPr>
          <w:rFonts w:cs="Arial"/>
        </w:rPr>
      </w:pPr>
      <w:r>
        <w:rPr>
          <w:sz w:val="24"/>
          <w:szCs w:val="24"/>
        </w:rPr>
        <w:t>If the Continuum of Care has established centralized or coordinated assessment system that meets HUD requirements, describe that centralized or coordinated assessment system.</w:t>
      </w:r>
      <w:r>
        <w:rPr>
          <w:i/>
        </w:rPr>
        <w:t xml:space="preserve"> </w:t>
      </w:r>
      <w:r>
        <w:rPr>
          <w:i/>
          <w:sz w:val="24"/>
          <w:szCs w:val="24"/>
        </w:rPr>
      </w:r>
    </w:p>
    <w:p>
      <w:pPr>
        <w:numPr>
          <w:ilvl w:val="0"/>
          <w:numId w:val="27"/>
        </w:numPr>
        <w:spacing w:beforeAutospacing="true" w:afterAutospacing="true"/>
      </w:pPr>
      <w:r>
        <w:rPr>
          <w:rFonts w:cs="Arial"/>
        </w:rPr>
        <w:t xml:space="preserve">There are currently systems in place for the Chronically Homeless, Homeless Veterans and Families.  The process for the Chronically Homeless includes a Community Triage Group of agencies that meet each week at The Road Home to evaluate client needs.  They use the SPDAT and other information to assess progress and status of clients. This same process is in place for homeless veterans however the Veterans Administration is a partner in these weekly meetings to ensure the certifications for actual veterans status is included in the process.  The Road Home is currently the lead agency for coordinated intake for families as well.  They continually provide training for all agencies to ensure the referral process is working.  Approximately 25-30% of the clients currently being placed are coming from referral agencies.  The new NOFA for the CoC may provide additional funds to assist with the analysis of these processes to evaluate effectiveness and outcomes.  </w:t>
      </w:r>
    </w:p>
    <w:p>
      <w:pPr>
        <w:widowControl w:val="false"/>
        <w:spacing w:beforeAutospacing="true" w:afterAutospacing="true"/>
        <w:ind w:left="360"/>
        <w:rPr>
          <w:rFonts w:cs="Arial"/>
        </w:rPr>
      </w:pPr>
      <w:r>
        <w:rPr>
          <w:rFonts w:cs="Arial"/>
        </w:rPr>
        <w:t xml:space="preserve">  </w:t>
      </w:r>
    </w:p>
    <w:p>
      <w:pPr>
        <w:keepNext/>
        <w:widowControl w:val="false"/>
        <w:numPr>
          <w:ilvl w:val="0"/>
          <w:numId w:val="14"/>
        </w:numPr>
        <w:spacing w:after="0" w:line="240" w:lineRule="auto"/>
        <w:rPr>
          <w:rFonts w:cs="Arial"/>
        </w:rPr>
      </w:pPr>
      <w:r>
        <w:rPr>
          <w:sz w:val="24"/>
          <w:szCs w:val="24"/>
        </w:rPr>
        <w:t>Identify the process for making sub-awards and describe how the ESG allocation available to private nonprofit organizations (including community and faith-based organizations).</w:t>
      </w:r>
      <w:r>
        <w:rPr>
          <w:i/>
        </w:rPr>
        <w:t xml:space="preserve"> </w:t>
      </w:r>
      <w:r>
        <w:rPr>
          <w:i/>
          <w:sz w:val="24"/>
          <w:szCs w:val="24"/>
        </w:rPr>
      </w:r>
    </w:p>
    <w:p>
      <w:pPr>
        <w:widowControl w:val="false"/>
        <w:spacing w:beforeAutospacing="true" w:afterAutospacing="true"/>
        <w:ind w:left="360"/>
        <w:rPr>
          <w:rFonts w:cs="Arial"/>
        </w:rPr>
      </w:pPr>
      <w:r>
        <w:rPr>
          <w:rFonts w:cs="Arial"/>
          <w:b/>
        </w:rPr>
        <w:t xml:space="preserve">Several changes were made in the grant process for this new timeframe.</w:t>
      </w:r>
      <w:r>
        <w:rPr>
          <w:rFonts w:cs="Arial"/>
        </w:rPr>
        <w:t xml:space="preserve">  A new process has been implemented where all ESG, CDBG Public Service, and SSBG funds are pooled and distributed through a collaborative decision-making process. Under this new process, applicants, including both non-profit service providers including community and faith-based organizations and local jurisdictions, will apply for funding through an open RFP process. The Citizen Participation Process has been amended to include two citizen review committees that better reflects the various jurisdictions and have expertise in the areas of services to score and rank the various applications. A representative of the Continuum of Care is include as a member of the review committee that scores and ranks the ESG funds.   The County will then hold a joint public hearing to solicit public input on the preliminary budget recommendations from the citizen committees.   Following the public hearing, the approval body will either consent to the preliminary budget, or in consultation with the County Mayor, recommend modifications to it. Upon receiving the final budget recommendation of the approval body, final approval will be made and submitted to HUD.  This process creates a more streamlined, efficient and effective grant process for all involved and will enable the County to collectively have a greater impact to the challenges we seek to address.  To ensure coordination of funding for the crisis services, the County coordinates with the housing Authorities as well as the Continuum of Care on policies and priorities to ensure all activities funded compliment each other rather than duplicate services.If the jurisdiction is unable to meet the homeless participation requirement in 24 CFR 576.405(a), the jurisdiction must specify its plan for reaching out to and consulting with homeless or formerly homeless individuals in considering policies and funding decisions regarding facilities and services funded under ESG.</w:t>
      </w:r>
    </w:p>
    <w:p>
      <w:pPr>
        <w:widowControl w:val="false"/>
        <w:spacing w:beforeAutospacing="true" w:afterAutospacing="true"/>
        <w:ind w:left="360"/>
        <w:rPr>
          <w:rFonts w:cs="Arial"/>
        </w:rPr>
      </w:pPr>
      <w:r>
        <w:rPr>
          <w:rFonts w:cs="Arial"/>
        </w:rPr>
        <w:t xml:space="preserve">All agencies are provided technical assistance as well as training regarding the unique program requirements for each of the grant sources included in our collaborative process.  This includes the match requirements for each program as well as the homeless participation requirement for the ESG program.  Any agency that is unable to meet this requirement is not allocated funding from this program source.  THis requirement is verified for all agencies that recieve ESG funding though monitoring as well as by reviewing their policies and board lists.</w:t>
      </w:r>
    </w:p>
    <w:p>
      <w:pPr>
        <w:keepNext/>
        <w:widowControl w:val="false"/>
        <w:numPr>
          <w:ilvl w:val="0"/>
          <w:numId w:val="14"/>
        </w:numPr>
        <w:spacing w:after="0" w:line="240" w:lineRule="auto"/>
        <w:rPr>
          <w:rFonts w:cs="Arial"/>
        </w:rPr>
      </w:pPr>
      <w:r>
        <w:rPr>
          <w:sz w:val="24"/>
          <w:szCs w:val="24"/>
        </w:rPr>
        <w:t>If the jurisdiction is unable to meet the homeless participation requirement in 24 CFR 576.405(a), the jurisdiction must specify its plan for reaching out to and consulting with homeless or formerly homeless individuals in considering policies and funding decisions regarding facilities and services funded under ESG.</w:t>
      </w:r>
      <w:r>
        <w:rPr>
          <w:i/>
        </w:rPr>
        <w:t xml:space="preserve"> </w:t>
      </w:r>
      <w:r>
        <w:rPr>
          <w:i/>
          <w:sz w:val="24"/>
          <w:szCs w:val="24"/>
        </w:rPr>
      </w:r>
    </w:p>
    <w:p>
      <w:pPr>
        <w:widowControl w:val="false"/>
        <w:spacing w:beforeAutospacing="true" w:afterAutospacing="true"/>
        <w:ind w:left="360"/>
        <w:rPr>
          <w:rFonts w:cs="Arial"/>
        </w:rPr>
      </w:pPr>
      <w:r>
        <w:rPr>
          <w:rFonts w:cs="Arial"/>
        </w:rPr>
        <w:t xml:space="preserve">All programs for the Emergency Solutions Grant are evaluated according to the identified outputs and performance indicators outlined in the Request for Proposals and included in each contract.  These are measured each quarter as agencies work toward providing the outcomes of their programs.  All programs are evaluated on timeliness of payment requests and how they meet the reporting requirements of the program.  All ESG Subgrantees are required to enter data into the State HMIS system except agencies that provide domestic violence services.  These agencies are required to submit the same type of summary data provided by HMIS on a quarterly basis.  As the priorities are identified, the County works with the State, Salt Lake City (Entitlement Jurisdiction) and the Continuum of Care to review performance standardes and outcomes identified for projects and activities.  This allows consistency as the programs provide the services to homeless and those at risk of becoming homeless.  As a funding agency, the County works with the State HMIS office on reporting requirements to again ensure consistency in information and data quality</w:t>
      </w:r>
    </w:p>
    <w:p>
      <w:pPr>
        <w:keepNext/>
        <w:widowControl w:val="false"/>
        <w:numPr>
          <w:ilvl w:val="0"/>
          <w:numId w:val="14"/>
        </w:numPr>
        <w:spacing w:after="0" w:line="240" w:lineRule="auto"/>
        <w:rPr>
          <w:rFonts w:cs="Arial"/>
          <w:i/>
        </w:rPr>
      </w:pPr>
      <w:r>
        <w:rPr>
          <w:sz w:val="24"/>
          <w:szCs w:val="24"/>
        </w:rPr>
        <w:t>Describe performance standards for evaluating ESG.</w:t>
      </w:r>
      <w:r>
        <w:rPr>
          <w:i/>
        </w:rPr>
        <w:t xml:space="preserve"> </w:t>
      </w:r>
      <w:r>
        <w:rPr>
          <w:i/>
          <w:sz w:val="24"/>
          <w:szCs w:val="24"/>
        </w:rPr>
      </w:r>
    </w:p>
    <w:p>
      <w:pPr>
        <w:widowControl w:val="false"/>
        <w:spacing w:beforeAutospacing="true" w:afterAutospacing="true"/>
        <w:ind w:left="360"/>
        <w:rPr>
          <w:rFonts w:cs="Arial"/>
        </w:rPr>
      </w:pPr>
      <w:r>
        <w:rPr>
          <w:rFonts w:cs="Arial"/>
        </w:rPr>
        <w:t xml:space="preserve">All programs for the Emergency Solutions Grant are evaluated according to the identified outputs and performance indicators outlined in the Request for Proposals and included in each contract.  These are measured each quarter as agencies work toward providing the outcomes of their programs.  All programs are evaluated on timeliness of payment requests and how they meet the reporting requirements of the program.  All ESG Subgrantees are required to enter data into the State HMIS system except agencies that provide domestic violence services.  These agencies are required to submit the same type of summary data provided by HMIS on a quarterly basis.  As the priorities are identified, the County works with the State, Salt Lake City (Entitlement Jurisdiction) and the Continuum of Care to review performance standardes and outcomes identified for projects and activities.  This allows consistency as the programs provide the services to homeless and those at risk of becoming homeless.  As a funding agency, the County works with the State HMIS office on reporting requirements to again ensure consistency in information and data quality.</w:t>
      </w:r>
    </w:p>
    <w:p>
      <w:pPr>
        <w:rPr>
          <w:b/>
          <w:sz w:val="24"/>
          <w:szCs w:val="24"/>
        </w:rPr>
      </w:pPr>
    </w:p>
    <w:p>
      <w:pPr>
        <w:rPr>
          <w:b/>
          <w:sz w:val="24"/>
          <w:szCs w:val="24"/>
        </w:rPr>
      </w:pPr>
    </w:p>
    <w:p>
      <w:pPr>
        <w:rPr>
          <w:b/>
          <w:sz w:val="24"/>
          <w:szCs w:val="24"/>
        </w:rPr>
      </w:pPr>
      <w:r>
        <w:rPr>
          <w:b/>
          <w:sz w:val="24"/>
          <w:szCs w:val="24"/>
        </w:rPr>
        <w:t>Discussion</w:t>
      </w:r>
    </w:p>
    <w:p>
      <w:pPr>
        <w:spacing w:beforeAutospacing="true" w:afterAutospacing="true"/>
        <w:rPr>
          <w:rFonts w:cs="Arial"/>
        </w:rPr>
      </w:pPr>
      <w:r>
        <w:rPr>
          <w:rFonts w:cs="Arial"/>
        </w:rPr>
        <w:t xml:space="preserve">Salt Lake County</w:t>
      </w:r>
    </w:p>
    <w:p>
      <w:pPr>
        <w:spacing w:after="0" w:line="240" w:lineRule="auto"/>
        <w:rPr>
          <w:rFonts w:cs="Arial"/>
        </w:rPr>
      </w:pPr>
      <w:r>
        <w:rPr>
          <w:rFonts w:cs="Arial"/>
        </w:rPr>
        <w:br w:type="page"/>
      </w:r>
    </w:p>
    <w:p>
      <w:pPr>
        <w:rPr>
          <w:b/>
          <w:sz w:val="28"/>
          <w:szCs w:val="28"/>
        </w:rPr>
      </w:pPr>
      <w:r>
        <w:rPr>
          <w:b/>
          <w:sz w:val="28"/>
          <w:szCs w:val="28"/>
        </w:rPr>
        <w:t>Attachments</w:t>
      </w:r>
    </w:p>
    <w:p>
      <w:r>
        <w:br w:type="page"/>
      </w:r>
    </w:p>
    <w:p>
      <w:r>
        <w:rPr>
          <w:b/>
        </w:rPr>
        <w:t>Citizen Participation Comments</w:t>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124"/>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123"/>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122"/>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121"/>
                    <a:stretch>
                      <a:fillRect/>
                    </a:stretch>
                  </pic:blipFill>
                  <pic:spPr>
                    <a:xfrm>
                      <a:off x="0" y="0"/>
                      <a:ext cx="5943600" cy="7691718"/>
                    </a:xfrm>
                    <a:prstGeom prst="rect">
                      <a:avLst/>
                    </a:prstGeom>
                  </pic:spPr>
                </pic:pic>
              </a:graphicData>
            </a:graphic>
          </wp:inline>
        </w:drawing>
      </w:r>
    </w:p>
    <w:p>
      <w:r>
        <w:br w:type="page"/>
      </w:r>
    </w:p>
    <w:p>
      <w:r>
        <w:rPr>
          <w:b/>
        </w:rPr>
        <w:t>Grantee Unique Appendices</w:t>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120"/>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119"/>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118"/>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117"/>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116"/>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115"/>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114"/>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113"/>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112"/>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111"/>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110"/>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109"/>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108"/>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107"/>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106"/>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105"/>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104"/>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103"/>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102"/>
                    <a:stretch>
                      <a:fillRect/>
                    </a:stretch>
                  </pic:blipFill>
                  <pic:spPr>
                    <a:xfrm>
                      <a:off x="0" y="0"/>
                      <a:ext cx="5943600" cy="7691718"/>
                    </a:xfrm>
                    <a:prstGeom prst="rect">
                      <a:avLst/>
                    </a:prstGeom>
                  </pic:spPr>
                </pic:pic>
              </a:graphicData>
            </a:graphic>
          </wp:inline>
        </w:drawing>
      </w:r>
    </w:p>
    <w:p>
      <w:r>
        <w:drawing>
          <wp:inline distT="0" distB="0" distL="0" distR="0">
            <wp:extent cx="5029200" cy="7772400"/>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101"/>
                    <a:stretch>
                      <a:fillRect/>
                    </a:stretch>
                  </pic:blipFill>
                  <pic:spPr>
                    <a:xfrm>
                      <a:off x="0" y="0"/>
                      <a:ext cx="5029200" cy="7772400"/>
                    </a:xfrm>
                    <a:prstGeom prst="rect">
                      <a:avLst/>
                    </a:prstGeom>
                  </pic:spPr>
                </pic:pic>
              </a:graphicData>
            </a:graphic>
          </wp:inline>
        </w:drawing>
      </w:r>
    </w:p>
    <w:p>
      <w:r>
        <w:drawing>
          <wp:inline distT="0" distB="0" distL="0" distR="0">
            <wp:extent cx="5029200" cy="7772400"/>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100"/>
                    <a:stretch>
                      <a:fillRect/>
                    </a:stretch>
                  </pic:blipFill>
                  <pic:spPr>
                    <a:xfrm>
                      <a:off x="0" y="0"/>
                      <a:ext cx="5029200" cy="7772400"/>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99"/>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98"/>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97"/>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96"/>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95"/>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94"/>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93"/>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92"/>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91"/>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90"/>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89"/>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88"/>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87"/>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86"/>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85"/>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84"/>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83"/>
                    <a:stretch>
                      <a:fillRect/>
                    </a:stretch>
                  </pic:blipFill>
                  <pic:spPr>
                    <a:xfrm>
                      <a:off x="0" y="0"/>
                      <a:ext cx="5943600" cy="7691718"/>
                    </a:xfrm>
                    <a:prstGeom prst="rect">
                      <a:avLst/>
                    </a:prstGeom>
                  </pic:spPr>
                </pic:pic>
              </a:graphicData>
            </a:graphic>
          </wp:inline>
        </w:drawing>
      </w:r>
    </w:p>
    <w:p>
      <w:r>
        <w:drawing>
          <wp:inline distT="0" distB="0" distL="0" distR="0">
            <wp:extent cx="5943600" cy="4592782"/>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82"/>
                    <a:stretch>
                      <a:fillRect/>
                    </a:stretch>
                  </pic:blipFill>
                  <pic:spPr>
                    <a:xfrm>
                      <a:off x="0" y="0"/>
                      <a:ext cx="5943600" cy="4592782"/>
                    </a:xfrm>
                    <a:prstGeom prst="rect">
                      <a:avLst/>
                    </a:prstGeom>
                  </pic:spPr>
                </pic:pic>
              </a:graphicData>
            </a:graphic>
          </wp:inline>
        </w:drawing>
      </w:r>
    </w:p>
    <w:p>
      <w:r>
        <w:drawing>
          <wp:inline distT="0" distB="0" distL="0" distR="0">
            <wp:extent cx="5943600" cy="4592782"/>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81"/>
                    <a:stretch>
                      <a:fillRect/>
                    </a:stretch>
                  </pic:blipFill>
                  <pic:spPr>
                    <a:xfrm>
                      <a:off x="0" y="0"/>
                      <a:ext cx="5943600" cy="4592782"/>
                    </a:xfrm>
                    <a:prstGeom prst="rect">
                      <a:avLst/>
                    </a:prstGeom>
                  </pic:spPr>
                </pic:pic>
              </a:graphicData>
            </a:graphic>
          </wp:inline>
        </w:drawing>
      </w:r>
    </w:p>
    <w:p>
      <w:r>
        <w:drawing>
          <wp:inline distT="0" distB="0" distL="0" distR="0">
            <wp:extent cx="5943600" cy="4592782"/>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80"/>
                    <a:stretch>
                      <a:fillRect/>
                    </a:stretch>
                  </pic:blipFill>
                  <pic:spPr>
                    <a:xfrm>
                      <a:off x="0" y="0"/>
                      <a:ext cx="5943600" cy="4592782"/>
                    </a:xfrm>
                    <a:prstGeom prst="rect">
                      <a:avLst/>
                    </a:prstGeom>
                  </pic:spPr>
                </pic:pic>
              </a:graphicData>
            </a:graphic>
          </wp:inline>
        </w:drawing>
      </w:r>
    </w:p>
    <w:p>
      <w:r>
        <w:drawing>
          <wp:inline distT="0" distB="0" distL="0" distR="0">
            <wp:extent cx="5943600" cy="4592782"/>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79"/>
                    <a:stretch>
                      <a:fillRect/>
                    </a:stretch>
                  </pic:blipFill>
                  <pic:spPr>
                    <a:xfrm>
                      <a:off x="0" y="0"/>
                      <a:ext cx="5943600" cy="4592782"/>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78"/>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77"/>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76"/>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75"/>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74"/>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73"/>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72"/>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71"/>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70"/>
                    <a:stretch>
                      <a:fillRect/>
                    </a:stretch>
                  </pic:blipFill>
                  <pic:spPr>
                    <a:xfrm>
                      <a:off x="0" y="0"/>
                      <a:ext cx="5943600" cy="7691718"/>
                    </a:xfrm>
                    <a:prstGeom prst="rect">
                      <a:avLst/>
                    </a:prstGeom>
                  </pic:spPr>
                </pic:pic>
              </a:graphicData>
            </a:graphic>
          </wp:inline>
        </w:drawing>
      </w:r>
    </w:p>
    <w:p>
      <w:r>
        <w:drawing>
          <wp:inline distT="0" distB="0" distL="0" distR="0">
            <wp:extent cx="5943600" cy="4592782"/>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69"/>
                    <a:stretch>
                      <a:fillRect/>
                    </a:stretch>
                  </pic:blipFill>
                  <pic:spPr>
                    <a:xfrm>
                      <a:off x="0" y="0"/>
                      <a:ext cx="5943600" cy="4592782"/>
                    </a:xfrm>
                    <a:prstGeom prst="rect">
                      <a:avLst/>
                    </a:prstGeom>
                  </pic:spPr>
                </pic:pic>
              </a:graphicData>
            </a:graphic>
          </wp:inline>
        </w:drawing>
      </w:r>
    </w:p>
    <w:p>
      <w:r>
        <w:drawing>
          <wp:inline distT="0" distB="0" distL="0" distR="0">
            <wp:extent cx="5943600" cy="4592782"/>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68"/>
                    <a:stretch>
                      <a:fillRect/>
                    </a:stretch>
                  </pic:blipFill>
                  <pic:spPr>
                    <a:xfrm>
                      <a:off x="0" y="0"/>
                      <a:ext cx="5943600" cy="4592782"/>
                    </a:xfrm>
                    <a:prstGeom prst="rect">
                      <a:avLst/>
                    </a:prstGeom>
                  </pic:spPr>
                </pic:pic>
              </a:graphicData>
            </a:graphic>
          </wp:inline>
        </w:drawing>
      </w:r>
    </w:p>
    <w:p>
      <w:r>
        <w:drawing>
          <wp:inline distT="0" distB="0" distL="0" distR="0">
            <wp:extent cx="5943600" cy="4592782"/>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67"/>
                    <a:stretch>
                      <a:fillRect/>
                    </a:stretch>
                  </pic:blipFill>
                  <pic:spPr>
                    <a:xfrm>
                      <a:off x="0" y="0"/>
                      <a:ext cx="5943600" cy="4592782"/>
                    </a:xfrm>
                    <a:prstGeom prst="rect">
                      <a:avLst/>
                    </a:prstGeom>
                  </pic:spPr>
                </pic:pic>
              </a:graphicData>
            </a:graphic>
          </wp:inline>
        </w:drawing>
      </w:r>
    </w:p>
    <w:p>
      <w:r>
        <w:drawing>
          <wp:inline distT="0" distB="0" distL="0" distR="0">
            <wp:extent cx="5943600" cy="4592782"/>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66"/>
                    <a:stretch>
                      <a:fillRect/>
                    </a:stretch>
                  </pic:blipFill>
                  <pic:spPr>
                    <a:xfrm>
                      <a:off x="0" y="0"/>
                      <a:ext cx="5943600" cy="4592782"/>
                    </a:xfrm>
                    <a:prstGeom prst="rect">
                      <a:avLst/>
                    </a:prstGeom>
                  </pic:spPr>
                </pic:pic>
              </a:graphicData>
            </a:graphic>
          </wp:inline>
        </w:drawing>
      </w:r>
    </w:p>
    <w:p>
      <w:r>
        <w:drawing>
          <wp:inline distT="0" distB="0" distL="0" distR="0">
            <wp:extent cx="5943600" cy="4592782"/>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65"/>
                    <a:stretch>
                      <a:fillRect/>
                    </a:stretch>
                  </pic:blipFill>
                  <pic:spPr>
                    <a:xfrm>
                      <a:off x="0" y="0"/>
                      <a:ext cx="5943600" cy="4592782"/>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64"/>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63"/>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62"/>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61"/>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60"/>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59"/>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58"/>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57"/>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56"/>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55"/>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54"/>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53"/>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52"/>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51"/>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50"/>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49"/>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48"/>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47"/>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46"/>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45"/>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44"/>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43"/>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42"/>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41"/>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40"/>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39"/>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38"/>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37"/>
                    <a:stretch>
                      <a:fillRect/>
                    </a:stretch>
                  </pic:blipFill>
                  <pic:spPr>
                    <a:xfrm>
                      <a:off x="0" y="0"/>
                      <a:ext cx="5943600" cy="7691718"/>
                    </a:xfrm>
                    <a:prstGeom prst="rect">
                      <a:avLst/>
                    </a:prstGeom>
                  </pic:spPr>
                </pic:pic>
              </a:graphicData>
            </a:graphic>
          </wp:inline>
        </w:drawing>
      </w:r>
    </w:p>
    <w:p>
      <w:r>
        <w:br w:type="page"/>
      </w:r>
    </w:p>
    <w:p>
      <w:pPr>
        <w:spacing w:after="0" w:line="240" w:lineRule="auto"/>
        <w:rPr>
          <w:b/>
          <w:sz w:val="28"/>
          <w:szCs w:val="28"/>
        </w:rPr>
      </w:pPr>
      <w:r>
        <w:rPr>
          <w:b/>
          <w:sz w:val="28"/>
          <w:szCs w:val="28"/>
        </w:rPr>
        <w:br w:type="page"/>
      </w:r>
    </w:p>
    <w:p>
      <w:pPr>
        <w:rPr>
          <w:b/>
          <w:sz w:val="28"/>
          <w:szCs w:val="28"/>
        </w:rPr>
      </w:pPr>
      <w:r>
        <w:rPr>
          <w:b/>
          <w:sz w:val="28"/>
          <w:szCs w:val="28"/>
        </w:rPr>
        <w:t xml:space="preserve">Appendix - Alternate/Local Data Sources </w:t>
      </w:r>
    </w:p>
    <w:p>
      <w:pPr>
        <w:spacing w:after="0" w:line="240" w:lineRule="auto"/>
        <w:rPr>
          <w:b/>
          <w:sz w:val="28"/>
          <w:szCs w:val="28"/>
        </w:rPr>
      </w:pPr>
    </w:p>
    <w:tbl>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Pr>
      <w:tblGrid/>
      <w:tr>
        <w:trPr>
          <w:cantSplit w:val="true"/>
        </w:trPr>
        <w:tc>
          <w:tcPr>
            <w:vMerge w:val="restart"/>
          </w:tcPr>
          <w:p>
            <w:r>
              <w:rPr>
                <w:b w:val="true"/>
              </w:rPr>
              <w:t>1</w:t>
            </w:r>
          </w:p>
        </w:tc>
        <w:tc>
          <w:p>
            <w:pPr>
              <w:keepNext w:val="true"/>
              <w:spacing w:before="100" w:after="0"/>
              <w:rPr>
                <w:rFonts w:asciiTheme="minorHAnsi" w:hAnsiTheme="minorHAnsi"/>
                <w:b/>
                <w:sz w:val="20"/>
                <w:szCs w:val="20"/>
              </w:rPr>
            </w:pPr>
            <w:r>
              <w:rPr>
                <w:rFonts w:asciiTheme="minorHAnsi" w:hAnsiTheme="minorHAnsi"/>
                <w:b/>
                <w:bCs/>
                <w:sz w:val="20"/>
                <w:szCs w:val="20"/>
              </w:rPr>
              <w:t>Data Source Name</w:t>
            </w:r>
          </w:p>
          <w:p>
            <w:pPr>
              <w:spacing w:before="100" w:after="0"/>
            </w:pPr>
            <w:r>
              <w:rPr>
                <w:rFonts w:ascii="Calibri" w:hAnsi="Calibri"/>
                <w:color w:val="000000"/>
                <w:sz w:val="22"/>
              </w:rPr>
              <w:t xml:space="preserve">REO properties</w:t>
            </w:r>
          </w:p>
        </w:tc>
      </w:tr>
      <w:tr>
        <w:trPr>
          <w:cantSplit w:val="true"/>
        </w:trPr>
        <w:tc>
          <w:tcPr>
            <w:vMerge/>
          </w:tcPr>
          <w:p/>
        </w:tc>
        <w:tc>
          <w:p>
            <w:pPr>
              <w:keepNext w:val="true"/>
              <w:spacing w:before="100" w:after="0"/>
              <w:rPr>
                <w:rFonts w:asciiTheme="minorHAnsi" w:hAnsiTheme="minorHAnsi"/>
                <w:b/>
                <w:sz w:val="20"/>
                <w:szCs w:val="20"/>
              </w:rPr>
            </w:pPr>
            <w:r>
              <w:rPr>
                <w:rFonts w:asciiTheme="minorHAnsi" w:hAnsiTheme="minorHAnsi"/>
                <w:b/>
                <w:sz w:val="20"/>
                <w:szCs w:val="20"/>
              </w:rPr>
              <w:t>List the name of the organization or individual who originated the data set.</w:t>
            </w:r>
          </w:p>
          <w:p>
            <w:pPr>
              <w:spacing w:before="100" w:after="0"/>
            </w:pPr>
            <w:r>
              <w:rPr>
                <w:rFonts w:ascii="Calibri" w:hAnsi="Calibri"/>
                <w:color w:val="000000"/>
                <w:sz w:val="22"/>
              </w:rPr>
              <w:t xml:space="preserve">US REO properties</w:t>
            </w:r>
          </w:p>
        </w:tc>
      </w:tr>
      <w:tr>
        <w:trPr>
          <w:cantSplit w:val="true"/>
        </w:trPr>
        <w:tc>
          <w:tcPr>
            <w:vMerge/>
          </w:tcPr>
          <w:p/>
        </w:tc>
        <w:tc>
          <w:p>
            <w:pPr>
              <w:keepNext w:val="true"/>
              <w:spacing w:before="100" w:after="0"/>
              <w:rPr>
                <w:rFonts w:asciiTheme="minorHAnsi" w:hAnsiTheme="minorHAnsi"/>
                <w:b/>
                <w:sz w:val="20"/>
                <w:szCs w:val="20"/>
              </w:rPr>
            </w:pPr>
            <w:r>
              <w:rPr>
                <w:rFonts w:asciiTheme="minorHAnsi" w:hAnsiTheme="minorHAnsi"/>
                <w:b/>
                <w:sz w:val="20"/>
                <w:szCs w:val="20"/>
              </w:rPr>
              <w:t>Provide a brief summary of the data set.</w:t>
            </w:r>
          </w:p>
          <w:p>
            <w:pPr>
              <w:spacing w:before="100" w:after="0"/>
            </w:pPr>
            <w:r>
              <w:rPr>
                <w:rFonts w:ascii="Calibri" w:hAnsi="Calibri"/>
                <w:color w:val="000000"/>
                <w:sz w:val="22"/>
              </w:rPr>
              <w:t xml:space="preserve">National data on REO properties</w:t>
            </w:r>
          </w:p>
        </w:tc>
      </w:tr>
      <w:tr>
        <w:trPr>
          <w:cantSplit w:val="true"/>
        </w:trPr>
        <w:tc>
          <w:tcPr>
            <w:vMerge/>
          </w:tcPr>
          <w:p/>
        </w:tc>
        <w:tc>
          <w:p>
            <w:pPr>
              <w:keepNext w:val="true"/>
              <w:spacing w:before="100" w:after="0"/>
              <w:rPr>
                <w:rFonts w:asciiTheme="minorHAnsi" w:hAnsiTheme="minorHAnsi"/>
                <w:b/>
                <w:sz w:val="20"/>
                <w:szCs w:val="20"/>
              </w:rPr>
            </w:pPr>
            <w:r>
              <w:rPr>
                <w:rFonts w:asciiTheme="minorHAnsi" w:hAnsiTheme="minorHAnsi"/>
                <w:b/>
                <w:color w:val="000033"/>
                <w:sz w:val="20"/>
                <w:szCs w:val="20"/>
              </w:rPr>
              <w:t>What was the purpose for developing this data set?</w:t>
            </w:r>
          </w:p>
          <w:p>
            <w:pPr>
              <w:spacing w:before="100" w:after="0"/>
            </w:pPr>
            <w:r>
              <w:rPr>
                <w:rFonts w:ascii="Calibri" w:hAnsi="Calibri"/>
                <w:color w:val="000000"/>
                <w:sz w:val="22"/>
              </w:rPr>
              <w:t xml:space="preserve">to identify foreclosed properties</w:t>
            </w:r>
          </w:p>
        </w:tc>
      </w:tr>
      <w:tr>
        <w:trPr>
          <w:cantSplit w:val="true"/>
        </w:trPr>
        <w:tc>
          <w:tcPr>
            <w:vMerge/>
          </w:tcPr>
          <w:p/>
        </w:tc>
        <w:tc>
          <w:p>
            <w:pPr>
              <w:keepNext w:val="true"/>
              <w:spacing w:before="100" w:after="0"/>
              <w:rPr>
                <w:rFonts w:asciiTheme="minorHAnsi" w:hAnsiTheme="minorHAnsi"/>
                <w:b/>
                <w:sz w:val="20"/>
                <w:szCs w:val="20"/>
              </w:rPr>
            </w:pPr>
            <w:r>
              <w:rPr>
                <w:rFonts w:asciiTheme="minorHAnsi" w:hAnsiTheme="minorHAnsi"/>
                <w:b/>
                <w:color w:val="000033"/>
                <w:sz w:val="20"/>
                <w:szCs w:val="20"/>
              </w:rPr>
              <w:t>Provide the year (and optionally month, or month and day) for when the data was collected.</w:t>
            </w:r>
          </w:p>
          <w:p>
            <w:pPr>
              <w:spacing w:before="100" w:after="0"/>
            </w:pPr>
            <w:r>
              <w:rPr>
                <w:rFonts w:ascii="Calibri" w:hAnsi="Calibri"/>
                <w:color w:val="000000"/>
                <w:sz w:val="22"/>
              </w:rPr>
              <w:t xml:space="preserve">2015</w:t>
            </w:r>
          </w:p>
        </w:tc>
      </w:tr>
      <w:tr>
        <w:trPr>
          <w:cantSplit w:val="true"/>
        </w:trPr>
        <w:tc>
          <w:tcPr>
            <w:vMerge/>
          </w:tcPr>
          <w:p/>
        </w:tc>
        <w:tc>
          <w:p>
            <w:pPr>
              <w:keepNext w:val="true"/>
              <w:spacing w:before="100" w:after="0"/>
              <w:rPr>
                <w:rFonts w:asciiTheme="minorHAnsi" w:hAnsiTheme="minorHAnsi"/>
                <w:b/>
                <w:sz w:val="20"/>
                <w:szCs w:val="20"/>
              </w:rPr>
            </w:pPr>
            <w:r>
              <w:rPr>
                <w:rFonts w:asciiTheme="minorHAnsi" w:hAnsiTheme="minorHAnsi"/>
                <w:b/>
                <w:sz w:val="20"/>
                <w:szCs w:val="20"/>
              </w:rPr>
              <w:t>Briefly describe the methodology for the data collection.</w:t>
            </w:r>
          </w:p>
          <w:p>
            <w:pPr>
              <w:spacing w:before="100" w:after="0"/>
            </w:pPr>
            <w:r>
              <w:rPr>
                <w:rFonts w:ascii="Calibri" w:hAnsi="Calibri"/>
                <w:color w:val="000000"/>
                <w:sz w:val="22"/>
              </w:rPr>
              <w:t xml:space="preserve">They reviewed HUD data system</w:t>
            </w:r>
          </w:p>
        </w:tc>
      </w:tr>
      <w:tr>
        <w:trPr>
          <w:cantSplit w:val="true"/>
        </w:trPr>
        <w:tc>
          <w:tcPr>
            <w:vMerge/>
          </w:tcPr>
          <w:p/>
        </w:tc>
        <w:tc>
          <w:p>
            <w:pPr>
              <w:keepNext w:val="true"/>
              <w:spacing w:before="100" w:after="0"/>
              <w:rPr>
                <w:rFonts w:asciiTheme="minorHAnsi" w:hAnsiTheme="minorHAnsi"/>
                <w:b/>
                <w:sz w:val="20"/>
                <w:szCs w:val="20"/>
              </w:rPr>
            </w:pPr>
            <w:r>
              <w:rPr>
                <w:rFonts w:asciiTheme="minorHAnsi" w:hAnsiTheme="minorHAnsi"/>
                <w:b/>
                <w:color w:val="000033"/>
                <w:sz w:val="20"/>
                <w:szCs w:val="20"/>
              </w:rPr>
              <w:t>Describe the total population from which the sample was taken.</w:t>
            </w:r>
          </w:p>
          <w:p>
            <w:pPr>
              <w:spacing w:before="100" w:after="0"/>
            </w:pPr>
            <w:r>
              <w:rPr>
                <w:rFonts w:ascii="Calibri" w:hAnsi="Calibri"/>
                <w:color w:val="000000"/>
                <w:sz w:val="22"/>
              </w:rPr>
              <w:t xml:space="preserve">All of Salt Lake County except for Salt Lake City</w:t>
            </w:r>
          </w:p>
        </w:tc>
      </w:tr>
      <w:tr>
        <w:trPr>
          <w:cantSplit w:val="true"/>
        </w:trPr>
        <w:tc>
          <w:tcPr>
            <w:vMerge/>
          </w:tcPr>
          <w:p/>
        </w:tc>
        <w:tc>
          <w:p>
            <w:pPr>
              <w:keepNext w:val="true"/>
              <w:spacing w:before="100" w:after="0"/>
              <w:rPr>
                <w:rFonts w:asciiTheme="minorHAnsi" w:hAnsiTheme="minorHAnsi"/>
                <w:b/>
                <w:color w:val="000033"/>
                <w:sz w:val="20"/>
                <w:szCs w:val="20"/>
              </w:rPr>
            </w:pPr>
            <w:r>
              <w:rPr>
                <w:rFonts w:asciiTheme="minorHAnsi" w:hAnsiTheme="minorHAnsi"/>
                <w:b/>
                <w:color w:val="000033"/>
                <w:sz w:val="20"/>
                <w:szCs w:val="20"/>
              </w:rPr>
              <w:t>Describe the demographics of the respondents or characteristics of the unit of measure, and the number of respondents or units surveyed.</w:t>
            </w:r>
          </w:p>
          <w:p>
            <w:pPr>
              <w:spacing w:before="100" w:after="0"/>
            </w:pPr>
            <w:r>
              <w:rPr>
                <w:rFonts w:ascii="Calibri" w:hAnsi="Calibri"/>
                <w:color w:val="000000"/>
                <w:sz w:val="22"/>
              </w:rPr>
              <w:t xml:space="preserve">all units abandoned or foreclosed</w:t>
            </w:r>
          </w:p>
        </w:tc>
      </w:tr>
    </w:tbl>
    <w:sectPr>
      <w:headerReference r:id="rId24" w:type="even"/>
      <w:headerReference r:id="rId25" w:type="default"/>
      <w:footerReference r:id="rId26" w:type="even"/>
      <w:headerReference r:id="rId27" w:type="first"/>
      <w:footerReference r:id="rId28" w:type="first"/>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
        <w:separator/>
      </w:r>
    </w:p>
  </w:endnote>
  <w:endnote w:type="continuationSeparator" w:id="0">
    <w:p>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Wingdings">
    <w:panose1 w:val="05000000000000000000"/>
    <w:charset w:val="02"/>
    <w:family w:val="auto"/>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pPr>
      <w:pStyle w:val="Footer"/>
    </w:pPr>
  </w:p>
</w:ftr>
</file>

<file path=word/footer2.xml><?xml version="1.0" encoding="utf-8"?>
<w:ftr xmlns:w="http://schemas.openxmlformats.org/wordprocessingml/2006/main" xmlns:w14="http://schemas.microsoft.com/office/word/2010/wordml" xmlns:r="http://schemas.openxmlformats.org/officeDocument/2006/relationships" xmlns:m="http://schemas.openxmlformats.org/officeDocument/2006/math" xmlns:w15="http://schemas.microsoft.com/office/word/2012/wordml" xmlns:ns27="http://schemas.openxmlformats.org/schemaLibrary/2006/main" xmlns:mc="http://schemas.openxmlformats.org/markup-compatibility/2006" xmlns:wp="http://schemas.openxmlformats.org/drawingml/2006/wordprocessingDrawing" xmlns:a="http://schemas.openxmlformats.org/drawingml/2006/main">
  <w:tbl>
    <w:tblPr>
      <w:tblW w:w="9738" w:type="dxa"/>
      <w:jc w:val="center"/>
      <w:tblLayout w:type="fixed"/>
      <w:tblLook w:firstRow="1" w:lastRow="1" w:firstColumn="1" w:lastColumn="1" w:noHBand="0" w:noVBand="0" w:val="01E0"/>
    </w:tblPr>
    <w:tblGrid>
      <w:gridCol w:w="1908"/>
      <w:gridCol w:w="5753"/>
      <w:gridCol w:w="2077"/>
    </w:tblGrid>
    <w:tr>
      <w:trPr>
        <w:jc w:val="center"/>
      </w:trPr>
      <w:tc>
        <w:tcPr>
          <w:tcW w:w="1908" w:type="dxa"/>
        </w:tcPr>
        <w:p>
          <w:pPr>
            <w:pStyle w:val="Footer"/>
            <w:spacing w:after="0" w:line="240" w:lineRule="auto"/>
            <w:ind w:left="-99"/>
          </w:pPr>
          <w:r>
            <w:t xml:space="preserve">  Consolidated Plan</w:t>
          </w:r>
        </w:p>
      </w:tc>
      <w:tc>
        <w:tcPr>
          <w:tcW w:w="5753" w:type="dxa"/>
        </w:tcPr>
        <w:p>
          <w:pPr>
            <w:pStyle w:val="Footer"/>
            <w:spacing w:after="0" w:line="240" w:lineRule="auto"/>
            <w:ind w:hanging="90"/>
            <w:jc w:val="center"/>
            <w:rPr>
              <w:rFonts w:cs="Arial"/>
            </w:rPr>
          </w:pPr>
          <w:r>
            <w:rPr>
              <w:rFonts w:cs="Arial"/>
            </w:rPr>
            <w:t>SALT LAKE COUNTY</w:t>
          </w:r>
        </w:p>
      </w:tc>
      <w:tc>
        <w:tcPr>
          <w:tcW w:w="2077" w:type="dxa"/>
        </w:tcPr>
        <w:p>
          <w:pPr>
            <w:pStyle w:val="Footer"/>
            <w:spacing w:after="0" w:line="240" w:lineRule="auto"/>
            <w:ind w:hanging="90"/>
            <w:jc w:val="right"/>
          </w:pPr>
          <w:r>
            <w:rPr>
              <w:rStyle w:val="PageNumber"/>
            </w:rPr>
            <w:t xml:space="preserve">    </w:t>
            <w:fldChar w:fldCharType="begin"/>
            <w:instrText xml:space="preserve"> PAGE </w:instrText>
            <w:fldChar w:fldCharType="separate"/>
            <w:t>1</w:t>
            <w:fldChar w:fldCharType="end"/>
          </w:r>
        </w:p>
      </w:tc>
    </w:tr>
  </w:tbl>
  <w:p>
    <w:pPr>
      <w:pStyle w:val="Footer"/>
      <w:spacing w:before="120" w:after="0"/>
      <w:ind w:hanging="90"/>
      <w:rPr>
        <w:rFonts w:asciiTheme="minorHAnsi" w:hAnsiTheme="minorHAnsi"/>
        <w:b/>
        <w:i/>
        <w:sz w:val="16"/>
      </w:rPr>
    </w:pPr>
    <w:r>
      <w:rPr>
        <w:rFonts w:cs="Arial" w:asciiTheme="minorHAnsi" w:hAnsiTheme="minorHAnsi"/>
        <w:color w:val="000000"/>
        <w:sz w:val="16"/>
      </w:rPr>
      <w:t xml:space="preserve">OMB Control No: 2506-0117 (exp. </w:t>
    </w:r>
    <w:bookmarkStart w:id="1" w:name="_GoBack"/>
    <w:r>
      <w:rPr>
        <w:rFonts w:cs="Arial" w:asciiTheme="minorHAnsi" w:hAnsiTheme="minorHAnsi"/>
        <w:color w:val="000000"/>
        <w:sz w:val="16"/>
      </w:rPr>
      <w:t>09/30/2021</w:t>
    </w:r>
    <w:bookmarkEnd w:id="1"/>
    <w:r>
      <w:rPr>
        <w:rFonts w:cs="Arial" w:asciiTheme="minorHAnsi" w:hAnsiTheme="minorHAnsi"/>
        <w:color w:val="000000"/>
        <w:sz w:val="16"/>
      </w:rPr>
      <w:t>)</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
        <w:separator/>
      </w:r>
    </w:p>
  </w:footnote>
  <w:footnote w:type="continuationSeparator" w:id="0">
    <w:p>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pPr>
      <w:pStyle w:val="Header"/>
    </w:pPr>
  </w:p>
</w:hdr>
</file>

<file path=word/numbering.xml><?xml version="1.0" encoding="utf-8"?>
<w:numbering xmlns:w="http://schemas.openxmlformats.org/wordprocessingml/2006/main" xmlns:w14="http://schemas.microsoft.com/office/word/2010/wordml" xmlns:r="http://schemas.openxmlformats.org/officeDocument/2006/relationships" xmlns:m="http://schemas.openxmlformats.org/officeDocument/2006/math" xmlns:w15="http://schemas.microsoft.com/office/word/2012/wordml" xmlns:ns27="http://schemas.openxmlformats.org/schemaLibrary/2006/main" xmlns:mc="http://schemas.openxmlformats.org/markup-compatibility/2006" xmlns:wp="http://schemas.openxmlformats.org/drawingml/2006/wordprocessingDrawing" xmlns:a="http://schemas.openxmlformats.org/drawingml/2006/main">
  <w:abstractNum w:abstractNumId="0">
    <w:nsid w:val="FFFFFF7C"/>
    <w:multiLevelType w:val="singleLevel"/>
    <w:tmpl w:val="73108E9C"/>
    <w:lvl w:ilvl="0">
      <w:start w:val="1"/>
      <w:numFmt w:val="decimal"/>
      <w:lvlText w:val="%1."/>
      <w:lvlJc w:val="left"/>
      <w:pPr>
        <w:tabs>
          <w:tab w:val="num" w:pos="1800"/>
        </w:tabs>
        <w:ind w:left="1800" w:hanging="360"/>
      </w:pPr>
      <w:rPr>
        <w:rFonts w:cs="Times New Roman"/>
      </w:rPr>
    </w:lvl>
  </w:abstractNum>
  <w:abstractNum w:abstractNumId="1">
    <w:nsid w:val="FFFFFF7D"/>
    <w:multiLevelType w:val="singleLevel"/>
    <w:tmpl w:val="A3848782"/>
    <w:lvl w:ilvl="0">
      <w:start w:val="1"/>
      <w:numFmt w:val="decimal"/>
      <w:lvlText w:val="%1."/>
      <w:lvlJc w:val="left"/>
      <w:pPr>
        <w:tabs>
          <w:tab w:val="num" w:pos="1440"/>
        </w:tabs>
        <w:ind w:left="1440" w:hanging="360"/>
      </w:pPr>
      <w:rPr>
        <w:rFonts w:cs="Times New Roman"/>
      </w:rPr>
    </w:lvl>
  </w:abstractNum>
  <w:abstractNum w:abstractNumId="2">
    <w:nsid w:val="FFFFFF7E"/>
    <w:multiLevelType w:val="singleLevel"/>
    <w:tmpl w:val="111CDC50"/>
    <w:lvl w:ilvl="0">
      <w:start w:val="1"/>
      <w:numFmt w:val="decimal"/>
      <w:lvlText w:val="%1."/>
      <w:lvlJc w:val="left"/>
      <w:pPr>
        <w:tabs>
          <w:tab w:val="num" w:pos="1080"/>
        </w:tabs>
        <w:ind w:left="1080" w:hanging="360"/>
      </w:pPr>
      <w:rPr>
        <w:rFonts w:cs="Times New Roman"/>
      </w:rPr>
    </w:lvl>
  </w:abstractNum>
  <w:abstractNum w:abstractNumId="3">
    <w:nsid w:val="FFFFFF7F"/>
    <w:multiLevelType w:val="singleLevel"/>
    <w:tmpl w:val="6CECF734"/>
    <w:lvl w:ilvl="0">
      <w:start w:val="1"/>
      <w:numFmt w:val="decimal"/>
      <w:lvlText w:val="%1."/>
      <w:lvlJc w:val="left"/>
      <w:pPr>
        <w:tabs>
          <w:tab w:val="num" w:pos="720"/>
        </w:tabs>
        <w:ind w:left="720" w:hanging="360"/>
      </w:pPr>
      <w:rPr>
        <w:rFonts w:cs="Times New Roman"/>
      </w:rPr>
    </w:lvl>
  </w:abstractNum>
  <w:abstractNum w:abstractNumId="4">
    <w:nsid w:val="FFFFFF80"/>
    <w:multiLevelType w:val="singleLevel"/>
    <w:tmpl w:val="A8B8103C"/>
    <w:lvl w:ilvl="0">
      <w:start w:val="1"/>
      <w:numFmt w:val="bullet"/>
      <w:lvlText w:val=""/>
      <w:lvlJc w:val="left"/>
      <w:pPr>
        <w:tabs>
          <w:tab w:val="num" w:pos="1800"/>
        </w:tabs>
        <w:ind w:left="1800" w:hanging="360"/>
      </w:pPr>
      <w:rPr>
        <w:rFonts w:hint="default" w:ascii="Symbol" w:hAnsi="Symbol"/>
      </w:rPr>
    </w:lvl>
  </w:abstractNum>
  <w:abstractNum w:abstractNumId="5">
    <w:nsid w:val="FFFFFF81"/>
    <w:multiLevelType w:val="singleLevel"/>
    <w:tmpl w:val="3FECD4C4"/>
    <w:lvl w:ilvl="0">
      <w:start w:val="1"/>
      <w:numFmt w:val="bullet"/>
      <w:lvlText w:val=""/>
      <w:lvlJc w:val="left"/>
      <w:pPr>
        <w:tabs>
          <w:tab w:val="num" w:pos="1440"/>
        </w:tabs>
        <w:ind w:left="1440" w:hanging="360"/>
      </w:pPr>
      <w:rPr>
        <w:rFonts w:hint="default" w:ascii="Symbol" w:hAnsi="Symbol"/>
      </w:rPr>
    </w:lvl>
  </w:abstractNum>
  <w:abstractNum w:abstractNumId="6">
    <w:nsid w:val="FFFFFF82"/>
    <w:multiLevelType w:val="singleLevel"/>
    <w:tmpl w:val="106E986A"/>
    <w:lvl w:ilvl="0">
      <w:start w:val="1"/>
      <w:numFmt w:val="bullet"/>
      <w:lvlText w:val=""/>
      <w:lvlJc w:val="left"/>
      <w:pPr>
        <w:tabs>
          <w:tab w:val="num" w:pos="1080"/>
        </w:tabs>
        <w:ind w:left="1080" w:hanging="360"/>
      </w:pPr>
      <w:rPr>
        <w:rFonts w:hint="default" w:ascii="Symbol" w:hAnsi="Symbol"/>
      </w:rPr>
    </w:lvl>
  </w:abstractNum>
  <w:abstractNum w:abstractNumId="7">
    <w:nsid w:val="FFFFFF83"/>
    <w:multiLevelType w:val="singleLevel"/>
    <w:tmpl w:val="8ACAE8C4"/>
    <w:lvl w:ilvl="0">
      <w:start w:val="1"/>
      <w:numFmt w:val="bullet"/>
      <w:lvlText w:val=""/>
      <w:lvlJc w:val="left"/>
      <w:pPr>
        <w:tabs>
          <w:tab w:val="num" w:pos="720"/>
        </w:tabs>
        <w:ind w:left="720" w:hanging="360"/>
      </w:pPr>
      <w:rPr>
        <w:rFonts w:hint="default" w:ascii="Symbol" w:hAnsi="Symbol"/>
      </w:rPr>
    </w:lvl>
  </w:abstractNum>
  <w:abstractNum w:abstractNumId="8">
    <w:nsid w:val="FFFFFF88"/>
    <w:multiLevelType w:val="singleLevel"/>
    <w:tmpl w:val="13EC8214"/>
    <w:lvl w:ilvl="0">
      <w:start w:val="1"/>
      <w:numFmt w:val="decimal"/>
      <w:lvlText w:val="%1."/>
      <w:lvlJc w:val="left"/>
      <w:pPr>
        <w:tabs>
          <w:tab w:val="num" w:pos="360"/>
        </w:tabs>
        <w:ind w:left="360" w:hanging="360"/>
      </w:pPr>
      <w:rPr>
        <w:rFonts w:cs="Times New Roman"/>
      </w:rPr>
    </w:lvl>
  </w:abstractNum>
  <w:abstractNum w:abstractNumId="9">
    <w:nsid w:val="FFFFFF89"/>
    <w:multiLevelType w:val="singleLevel"/>
    <w:tmpl w:val="67F0FC44"/>
    <w:lvl w:ilvl="0">
      <w:start w:val="1"/>
      <w:numFmt w:val="bullet"/>
      <w:lvlText w:val=""/>
      <w:lvlJc w:val="left"/>
      <w:pPr>
        <w:tabs>
          <w:tab w:val="num" w:pos="360"/>
        </w:tabs>
        <w:ind w:left="360" w:hanging="360"/>
      </w:pPr>
      <w:rPr>
        <w:rFonts w:hint="default" w:ascii="Symbol" w:hAnsi="Symbol"/>
      </w:rPr>
    </w:lvl>
  </w:abstractNum>
  <w:abstractNum w:abstractNumId="10">
    <w:nsid w:val="042A6DC6"/>
    <w:multiLevelType w:val="hybridMultilevel"/>
    <w:tmpl w:val="203CEBDC"/>
    <w:lvl w:ilvl="0" w:tplc="04090013">
      <w:start w:val="1"/>
      <w:numFmt w:val="upperRoman"/>
      <w:lvlText w:val="%1."/>
      <w:lvlJc w:val="right"/>
      <w:pPr>
        <w:tabs>
          <w:tab w:val="num" w:pos="720"/>
        </w:tabs>
        <w:ind w:left="720" w:hanging="180"/>
      </w:pPr>
      <w:rPr>
        <w:rFonts w:cs="Times New Roman"/>
      </w:rPr>
    </w:lvl>
    <w:lvl w:ilvl="1" w:tplc="04090019" w:tentative="true">
      <w:start w:val="1"/>
      <w:numFmt w:val="lowerLetter"/>
      <w:lvlText w:val="%2."/>
      <w:lvlJc w:val="left"/>
      <w:pPr>
        <w:tabs>
          <w:tab w:val="num" w:pos="1440"/>
        </w:tabs>
        <w:ind w:left="1440" w:hanging="360"/>
      </w:pPr>
      <w:rPr>
        <w:rFonts w:cs="Times New Roman"/>
      </w:rPr>
    </w:lvl>
    <w:lvl w:ilvl="2" w:tplc="0409001B" w:tentative="true">
      <w:start w:val="1"/>
      <w:numFmt w:val="lowerRoman"/>
      <w:lvlText w:val="%3."/>
      <w:lvlJc w:val="right"/>
      <w:pPr>
        <w:tabs>
          <w:tab w:val="num" w:pos="2160"/>
        </w:tabs>
        <w:ind w:left="2160" w:hanging="180"/>
      </w:pPr>
      <w:rPr>
        <w:rFonts w:cs="Times New Roman"/>
      </w:rPr>
    </w:lvl>
    <w:lvl w:ilvl="3" w:tplc="0409000F" w:tentative="true">
      <w:start w:val="1"/>
      <w:numFmt w:val="decimal"/>
      <w:lvlText w:val="%4."/>
      <w:lvlJc w:val="left"/>
      <w:pPr>
        <w:tabs>
          <w:tab w:val="num" w:pos="2880"/>
        </w:tabs>
        <w:ind w:left="2880" w:hanging="360"/>
      </w:pPr>
      <w:rPr>
        <w:rFonts w:cs="Times New Roman"/>
      </w:rPr>
    </w:lvl>
    <w:lvl w:ilvl="4" w:tplc="04090019" w:tentative="true">
      <w:start w:val="1"/>
      <w:numFmt w:val="lowerLetter"/>
      <w:lvlText w:val="%5."/>
      <w:lvlJc w:val="left"/>
      <w:pPr>
        <w:tabs>
          <w:tab w:val="num" w:pos="3600"/>
        </w:tabs>
        <w:ind w:left="3600" w:hanging="360"/>
      </w:pPr>
      <w:rPr>
        <w:rFonts w:cs="Times New Roman"/>
      </w:rPr>
    </w:lvl>
    <w:lvl w:ilvl="5" w:tplc="0409001B" w:tentative="true">
      <w:start w:val="1"/>
      <w:numFmt w:val="lowerRoman"/>
      <w:lvlText w:val="%6."/>
      <w:lvlJc w:val="right"/>
      <w:pPr>
        <w:tabs>
          <w:tab w:val="num" w:pos="4320"/>
        </w:tabs>
        <w:ind w:left="4320" w:hanging="180"/>
      </w:pPr>
      <w:rPr>
        <w:rFonts w:cs="Times New Roman"/>
      </w:rPr>
    </w:lvl>
    <w:lvl w:ilvl="6" w:tplc="0409000F" w:tentative="true">
      <w:start w:val="1"/>
      <w:numFmt w:val="decimal"/>
      <w:lvlText w:val="%7."/>
      <w:lvlJc w:val="left"/>
      <w:pPr>
        <w:tabs>
          <w:tab w:val="num" w:pos="5040"/>
        </w:tabs>
        <w:ind w:left="5040" w:hanging="360"/>
      </w:pPr>
      <w:rPr>
        <w:rFonts w:cs="Times New Roman"/>
      </w:rPr>
    </w:lvl>
    <w:lvl w:ilvl="7" w:tplc="04090019" w:tentative="true">
      <w:start w:val="1"/>
      <w:numFmt w:val="lowerLetter"/>
      <w:lvlText w:val="%8."/>
      <w:lvlJc w:val="left"/>
      <w:pPr>
        <w:tabs>
          <w:tab w:val="num" w:pos="5760"/>
        </w:tabs>
        <w:ind w:left="5760" w:hanging="360"/>
      </w:pPr>
      <w:rPr>
        <w:rFonts w:cs="Times New Roman"/>
      </w:rPr>
    </w:lvl>
    <w:lvl w:ilvl="8" w:tplc="0409001B" w:tentative="true">
      <w:start w:val="1"/>
      <w:numFmt w:val="lowerRoman"/>
      <w:lvlText w:val="%9."/>
      <w:lvlJc w:val="right"/>
      <w:pPr>
        <w:tabs>
          <w:tab w:val="num" w:pos="6480"/>
        </w:tabs>
        <w:ind w:left="6480" w:hanging="180"/>
      </w:pPr>
      <w:rPr>
        <w:rFonts w:cs="Times New Roman"/>
      </w:rPr>
    </w:lvl>
  </w:abstractNum>
  <w:abstractNum w:abstractNumId="11">
    <w:nsid w:val="045B42A3"/>
    <w:multiLevelType w:val="hybridMultilevel"/>
    <w:tmpl w:val="FA82EE94"/>
    <w:lvl w:ilvl="0" w:tplc="04090013">
      <w:start w:val="1"/>
      <w:numFmt w:val="upperRoman"/>
      <w:lvlText w:val="%1."/>
      <w:lvlJc w:val="right"/>
      <w:pPr>
        <w:ind w:left="720" w:hanging="360"/>
      </w:pPr>
      <w:rPr>
        <w:rFonts w:cs="Times New Roman"/>
      </w:rPr>
    </w:lvl>
    <w:lvl w:ilvl="1" w:tplc="04090019" w:tentative="true">
      <w:start w:val="1"/>
      <w:numFmt w:val="lowerLetter"/>
      <w:lvlText w:val="%2."/>
      <w:lvlJc w:val="left"/>
      <w:pPr>
        <w:ind w:left="1440" w:hanging="360"/>
      </w:pPr>
      <w:rPr>
        <w:rFonts w:cs="Times New Roman"/>
      </w:rPr>
    </w:lvl>
    <w:lvl w:ilvl="2" w:tplc="0409001B" w:tentative="true">
      <w:start w:val="1"/>
      <w:numFmt w:val="lowerRoman"/>
      <w:lvlText w:val="%3."/>
      <w:lvlJc w:val="right"/>
      <w:pPr>
        <w:ind w:left="2160" w:hanging="180"/>
      </w:pPr>
      <w:rPr>
        <w:rFonts w:cs="Times New Roman"/>
      </w:rPr>
    </w:lvl>
    <w:lvl w:ilvl="3" w:tplc="0409000F" w:tentative="true">
      <w:start w:val="1"/>
      <w:numFmt w:val="decimal"/>
      <w:lvlText w:val="%4."/>
      <w:lvlJc w:val="left"/>
      <w:pPr>
        <w:ind w:left="2880" w:hanging="360"/>
      </w:pPr>
      <w:rPr>
        <w:rFonts w:cs="Times New Roman"/>
      </w:rPr>
    </w:lvl>
    <w:lvl w:ilvl="4" w:tplc="04090019" w:tentative="true">
      <w:start w:val="1"/>
      <w:numFmt w:val="lowerLetter"/>
      <w:lvlText w:val="%5."/>
      <w:lvlJc w:val="left"/>
      <w:pPr>
        <w:ind w:left="3600" w:hanging="360"/>
      </w:pPr>
      <w:rPr>
        <w:rFonts w:cs="Times New Roman"/>
      </w:rPr>
    </w:lvl>
    <w:lvl w:ilvl="5" w:tplc="0409001B" w:tentative="true">
      <w:start w:val="1"/>
      <w:numFmt w:val="lowerRoman"/>
      <w:lvlText w:val="%6."/>
      <w:lvlJc w:val="right"/>
      <w:pPr>
        <w:ind w:left="4320" w:hanging="180"/>
      </w:pPr>
      <w:rPr>
        <w:rFonts w:cs="Times New Roman"/>
      </w:rPr>
    </w:lvl>
    <w:lvl w:ilvl="6" w:tplc="0409000F" w:tentative="true">
      <w:start w:val="1"/>
      <w:numFmt w:val="decimal"/>
      <w:lvlText w:val="%7."/>
      <w:lvlJc w:val="left"/>
      <w:pPr>
        <w:ind w:left="5040" w:hanging="360"/>
      </w:pPr>
      <w:rPr>
        <w:rFonts w:cs="Times New Roman"/>
      </w:rPr>
    </w:lvl>
    <w:lvl w:ilvl="7" w:tplc="04090019" w:tentative="true">
      <w:start w:val="1"/>
      <w:numFmt w:val="lowerLetter"/>
      <w:lvlText w:val="%8."/>
      <w:lvlJc w:val="left"/>
      <w:pPr>
        <w:ind w:left="5760" w:hanging="360"/>
      </w:pPr>
      <w:rPr>
        <w:rFonts w:cs="Times New Roman"/>
      </w:rPr>
    </w:lvl>
    <w:lvl w:ilvl="8" w:tplc="0409001B" w:tentative="true">
      <w:start w:val="1"/>
      <w:numFmt w:val="lowerRoman"/>
      <w:lvlText w:val="%9."/>
      <w:lvlJc w:val="right"/>
      <w:pPr>
        <w:ind w:left="6480" w:hanging="180"/>
      </w:pPr>
      <w:rPr>
        <w:rFonts w:cs="Times New Roman"/>
      </w:rPr>
    </w:lvl>
  </w:abstractNum>
  <w:abstractNum w:abstractNumId="12">
    <w:nsid w:val="13CB0CE3"/>
    <w:multiLevelType w:val="hybridMultilevel"/>
    <w:tmpl w:val="A09AC69E"/>
    <w:lvl w:ilvl="0" w:tplc="696A65CC">
      <w:start w:val="1"/>
      <w:numFmt w:val="decimal"/>
      <w:lvlText w:val="%1."/>
      <w:lvlJc w:val="left"/>
      <w:pPr>
        <w:ind w:left="360" w:hanging="360"/>
      </w:pPr>
      <w:rPr>
        <w:rFonts w:hint="default" w:cs="Arial"/>
      </w:rPr>
    </w:lvl>
    <w:lvl w:ilvl="1" w:tplc="04090019" w:tentative="true">
      <w:start w:val="1"/>
      <w:numFmt w:val="lowerLetter"/>
      <w:lvlText w:val="%2."/>
      <w:lvlJc w:val="left"/>
      <w:pPr>
        <w:ind w:left="1080" w:hanging="360"/>
      </w:pPr>
    </w:lvl>
    <w:lvl w:ilvl="2" w:tplc="0409001B" w:tentative="true">
      <w:start w:val="1"/>
      <w:numFmt w:val="lowerRoman"/>
      <w:lvlText w:val="%3."/>
      <w:lvlJc w:val="right"/>
      <w:pPr>
        <w:ind w:left="1800" w:hanging="180"/>
      </w:pPr>
    </w:lvl>
    <w:lvl w:ilvl="3" w:tplc="0409000F" w:tentative="true">
      <w:start w:val="1"/>
      <w:numFmt w:val="decimal"/>
      <w:lvlText w:val="%4."/>
      <w:lvlJc w:val="left"/>
      <w:pPr>
        <w:ind w:left="2520" w:hanging="360"/>
      </w:pPr>
    </w:lvl>
    <w:lvl w:ilvl="4" w:tplc="04090019" w:tentative="true">
      <w:start w:val="1"/>
      <w:numFmt w:val="lowerLetter"/>
      <w:lvlText w:val="%5."/>
      <w:lvlJc w:val="left"/>
      <w:pPr>
        <w:ind w:left="3240" w:hanging="360"/>
      </w:pPr>
    </w:lvl>
    <w:lvl w:ilvl="5" w:tplc="0409001B" w:tentative="true">
      <w:start w:val="1"/>
      <w:numFmt w:val="lowerRoman"/>
      <w:lvlText w:val="%6."/>
      <w:lvlJc w:val="right"/>
      <w:pPr>
        <w:ind w:left="3960" w:hanging="180"/>
      </w:pPr>
    </w:lvl>
    <w:lvl w:ilvl="6" w:tplc="0409000F" w:tentative="true">
      <w:start w:val="1"/>
      <w:numFmt w:val="decimal"/>
      <w:lvlText w:val="%7."/>
      <w:lvlJc w:val="left"/>
      <w:pPr>
        <w:ind w:left="4680" w:hanging="360"/>
      </w:pPr>
    </w:lvl>
    <w:lvl w:ilvl="7" w:tplc="04090019" w:tentative="true">
      <w:start w:val="1"/>
      <w:numFmt w:val="lowerLetter"/>
      <w:lvlText w:val="%8."/>
      <w:lvlJc w:val="left"/>
      <w:pPr>
        <w:ind w:left="5400" w:hanging="360"/>
      </w:pPr>
    </w:lvl>
    <w:lvl w:ilvl="8" w:tplc="0409001B" w:tentative="true">
      <w:start w:val="1"/>
      <w:numFmt w:val="lowerRoman"/>
      <w:lvlText w:val="%9."/>
      <w:lvlJc w:val="right"/>
      <w:pPr>
        <w:ind w:left="6120" w:hanging="180"/>
      </w:pPr>
    </w:lvl>
  </w:abstractNum>
  <w:abstractNum w:abstractNumId="13">
    <w:nsid w:val="33591079"/>
    <w:multiLevelType w:val="hybridMultilevel"/>
    <w:tmpl w:val="CD060D5C"/>
    <w:lvl w:ilvl="0" w:tplc="0409000F">
      <w:start w:val="1"/>
      <w:numFmt w:val="decimal"/>
      <w:lvlText w:val="%1."/>
      <w:lvlJc w:val="left"/>
      <w:pPr>
        <w:ind w:left="36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4">
    <w:nsid w:val="414528EA"/>
    <w:multiLevelType w:val="hybridMultilevel"/>
    <w:tmpl w:val="1AE41AAE"/>
    <w:lvl w:ilvl="0" w:tplc="0409000F">
      <w:start w:val="1"/>
      <w:numFmt w:val="decimal"/>
      <w:lvlText w:val="%1."/>
      <w:lvlJc w:val="left"/>
      <w:pPr>
        <w:ind w:left="360" w:hanging="360"/>
      </w:pPr>
    </w:lvl>
    <w:lvl w:ilvl="1" w:tplc="04090019" w:tentative="true">
      <w:start w:val="1"/>
      <w:numFmt w:val="lowerLetter"/>
      <w:lvlText w:val="%2."/>
      <w:lvlJc w:val="left"/>
      <w:pPr>
        <w:ind w:left="1080" w:hanging="360"/>
      </w:pPr>
    </w:lvl>
    <w:lvl w:ilvl="2" w:tplc="0409001B" w:tentative="true">
      <w:start w:val="1"/>
      <w:numFmt w:val="lowerRoman"/>
      <w:lvlText w:val="%3."/>
      <w:lvlJc w:val="right"/>
      <w:pPr>
        <w:ind w:left="1800" w:hanging="180"/>
      </w:pPr>
    </w:lvl>
    <w:lvl w:ilvl="3" w:tplc="0409000F" w:tentative="true">
      <w:start w:val="1"/>
      <w:numFmt w:val="decimal"/>
      <w:lvlText w:val="%4."/>
      <w:lvlJc w:val="left"/>
      <w:pPr>
        <w:ind w:left="2520" w:hanging="360"/>
      </w:pPr>
    </w:lvl>
    <w:lvl w:ilvl="4" w:tplc="04090019" w:tentative="true">
      <w:start w:val="1"/>
      <w:numFmt w:val="lowerLetter"/>
      <w:lvlText w:val="%5."/>
      <w:lvlJc w:val="left"/>
      <w:pPr>
        <w:ind w:left="3240" w:hanging="360"/>
      </w:pPr>
    </w:lvl>
    <w:lvl w:ilvl="5" w:tplc="0409001B" w:tentative="true">
      <w:start w:val="1"/>
      <w:numFmt w:val="lowerRoman"/>
      <w:lvlText w:val="%6."/>
      <w:lvlJc w:val="right"/>
      <w:pPr>
        <w:ind w:left="3960" w:hanging="180"/>
      </w:pPr>
    </w:lvl>
    <w:lvl w:ilvl="6" w:tplc="0409000F" w:tentative="true">
      <w:start w:val="1"/>
      <w:numFmt w:val="decimal"/>
      <w:lvlText w:val="%7."/>
      <w:lvlJc w:val="left"/>
      <w:pPr>
        <w:ind w:left="4680" w:hanging="360"/>
      </w:pPr>
    </w:lvl>
    <w:lvl w:ilvl="7" w:tplc="04090019" w:tentative="true">
      <w:start w:val="1"/>
      <w:numFmt w:val="lowerLetter"/>
      <w:lvlText w:val="%8."/>
      <w:lvlJc w:val="left"/>
      <w:pPr>
        <w:ind w:left="5400" w:hanging="360"/>
      </w:pPr>
    </w:lvl>
    <w:lvl w:ilvl="8" w:tplc="0409001B" w:tentative="true">
      <w:start w:val="1"/>
      <w:numFmt w:val="lowerRoman"/>
      <w:lvlText w:val="%9."/>
      <w:lvlJc w:val="right"/>
      <w:pPr>
        <w:ind w:left="6120" w:hanging="180"/>
      </w:pPr>
    </w:lvl>
  </w:abstractNum>
  <w:abstractNum w:abstractNumId="15">
    <w:nsid w:val="42F502A2"/>
    <w:multiLevelType w:val="hybridMultilevel"/>
    <w:tmpl w:val="63FC34BA"/>
    <w:lvl w:ilvl="0" w:tplc="0409000F">
      <w:start w:val="1"/>
      <w:numFmt w:val="decimal"/>
      <w:lvlText w:val="%1."/>
      <w:lvlJc w:val="left"/>
      <w:pPr>
        <w:ind w:left="360" w:hanging="360"/>
      </w:pPr>
    </w:lvl>
    <w:lvl w:ilvl="1" w:tplc="04090019" w:tentative="true">
      <w:start w:val="1"/>
      <w:numFmt w:val="lowerLetter"/>
      <w:lvlText w:val="%2."/>
      <w:lvlJc w:val="left"/>
      <w:pPr>
        <w:ind w:left="1080" w:hanging="360"/>
      </w:pPr>
    </w:lvl>
    <w:lvl w:ilvl="2" w:tplc="0409001B" w:tentative="true">
      <w:start w:val="1"/>
      <w:numFmt w:val="lowerRoman"/>
      <w:lvlText w:val="%3."/>
      <w:lvlJc w:val="right"/>
      <w:pPr>
        <w:ind w:left="1800" w:hanging="180"/>
      </w:pPr>
    </w:lvl>
    <w:lvl w:ilvl="3" w:tplc="0409000F" w:tentative="true">
      <w:start w:val="1"/>
      <w:numFmt w:val="decimal"/>
      <w:lvlText w:val="%4."/>
      <w:lvlJc w:val="left"/>
      <w:pPr>
        <w:ind w:left="2520" w:hanging="360"/>
      </w:pPr>
    </w:lvl>
    <w:lvl w:ilvl="4" w:tplc="04090019" w:tentative="true">
      <w:start w:val="1"/>
      <w:numFmt w:val="lowerLetter"/>
      <w:lvlText w:val="%5."/>
      <w:lvlJc w:val="left"/>
      <w:pPr>
        <w:ind w:left="3240" w:hanging="360"/>
      </w:pPr>
    </w:lvl>
    <w:lvl w:ilvl="5" w:tplc="0409001B" w:tentative="true">
      <w:start w:val="1"/>
      <w:numFmt w:val="lowerRoman"/>
      <w:lvlText w:val="%6."/>
      <w:lvlJc w:val="right"/>
      <w:pPr>
        <w:ind w:left="3960" w:hanging="180"/>
      </w:pPr>
    </w:lvl>
    <w:lvl w:ilvl="6" w:tplc="0409000F" w:tentative="true">
      <w:start w:val="1"/>
      <w:numFmt w:val="decimal"/>
      <w:lvlText w:val="%7."/>
      <w:lvlJc w:val="left"/>
      <w:pPr>
        <w:ind w:left="4680" w:hanging="360"/>
      </w:pPr>
    </w:lvl>
    <w:lvl w:ilvl="7" w:tplc="04090019" w:tentative="true">
      <w:start w:val="1"/>
      <w:numFmt w:val="lowerLetter"/>
      <w:lvlText w:val="%8."/>
      <w:lvlJc w:val="left"/>
      <w:pPr>
        <w:ind w:left="5400" w:hanging="360"/>
      </w:pPr>
    </w:lvl>
    <w:lvl w:ilvl="8" w:tplc="0409001B" w:tentative="true">
      <w:start w:val="1"/>
      <w:numFmt w:val="lowerRoman"/>
      <w:lvlText w:val="%9."/>
      <w:lvlJc w:val="right"/>
      <w:pPr>
        <w:ind w:left="6120" w:hanging="180"/>
      </w:pPr>
    </w:lvl>
  </w:abstractNum>
  <w:abstractNum w:abstractNumId="16">
    <w:nsid w:val="47530CF4"/>
    <w:multiLevelType w:val="hybridMultilevel"/>
    <w:tmpl w:val="4714181E"/>
    <w:lvl w:ilvl="0" w:tplc="0409000F">
      <w:start w:val="1"/>
      <w:numFmt w:val="decimal"/>
      <w:lvlText w:val="%1."/>
      <w:lvlJc w:val="left"/>
      <w:pPr>
        <w:ind w:left="360" w:hanging="360"/>
      </w:pPr>
    </w:lvl>
    <w:lvl w:ilvl="1" w:tplc="04090019" w:tentative="true">
      <w:start w:val="1"/>
      <w:numFmt w:val="lowerLetter"/>
      <w:lvlText w:val="%2."/>
      <w:lvlJc w:val="left"/>
      <w:pPr>
        <w:ind w:left="1080" w:hanging="360"/>
      </w:pPr>
    </w:lvl>
    <w:lvl w:ilvl="2" w:tplc="0409001B" w:tentative="true">
      <w:start w:val="1"/>
      <w:numFmt w:val="lowerRoman"/>
      <w:lvlText w:val="%3."/>
      <w:lvlJc w:val="right"/>
      <w:pPr>
        <w:ind w:left="1800" w:hanging="180"/>
      </w:pPr>
    </w:lvl>
    <w:lvl w:ilvl="3" w:tplc="0409000F" w:tentative="true">
      <w:start w:val="1"/>
      <w:numFmt w:val="decimal"/>
      <w:lvlText w:val="%4."/>
      <w:lvlJc w:val="left"/>
      <w:pPr>
        <w:ind w:left="2520" w:hanging="360"/>
      </w:pPr>
    </w:lvl>
    <w:lvl w:ilvl="4" w:tplc="04090019" w:tentative="true">
      <w:start w:val="1"/>
      <w:numFmt w:val="lowerLetter"/>
      <w:lvlText w:val="%5."/>
      <w:lvlJc w:val="left"/>
      <w:pPr>
        <w:ind w:left="3240" w:hanging="360"/>
      </w:pPr>
    </w:lvl>
    <w:lvl w:ilvl="5" w:tplc="0409001B" w:tentative="true">
      <w:start w:val="1"/>
      <w:numFmt w:val="lowerRoman"/>
      <w:lvlText w:val="%6."/>
      <w:lvlJc w:val="right"/>
      <w:pPr>
        <w:ind w:left="3960" w:hanging="180"/>
      </w:pPr>
    </w:lvl>
    <w:lvl w:ilvl="6" w:tplc="0409000F" w:tentative="true">
      <w:start w:val="1"/>
      <w:numFmt w:val="decimal"/>
      <w:lvlText w:val="%7."/>
      <w:lvlJc w:val="left"/>
      <w:pPr>
        <w:ind w:left="4680" w:hanging="360"/>
      </w:pPr>
    </w:lvl>
    <w:lvl w:ilvl="7" w:tplc="04090019" w:tentative="true">
      <w:start w:val="1"/>
      <w:numFmt w:val="lowerLetter"/>
      <w:lvlText w:val="%8."/>
      <w:lvlJc w:val="left"/>
      <w:pPr>
        <w:ind w:left="5400" w:hanging="360"/>
      </w:pPr>
    </w:lvl>
    <w:lvl w:ilvl="8" w:tplc="0409001B" w:tentative="true">
      <w:start w:val="1"/>
      <w:numFmt w:val="lowerRoman"/>
      <w:lvlText w:val="%9."/>
      <w:lvlJc w:val="right"/>
      <w:pPr>
        <w:ind w:left="6120" w:hanging="180"/>
      </w:pPr>
    </w:lvl>
  </w:abstractNum>
  <w:abstractNum w:abstractNumId="17">
    <w:nsid w:val="6D5C4484"/>
    <w:multiLevelType w:val="hybridMultilevel"/>
    <w:tmpl w:val="65061610"/>
    <w:lvl w:ilvl="0" w:tplc="0409000F">
      <w:start w:val="1"/>
      <w:numFmt w:val="decimal"/>
      <w:lvlText w:val="%1."/>
      <w:lvlJc w:val="left"/>
      <w:pPr>
        <w:tabs>
          <w:tab w:val="num" w:pos="360"/>
        </w:tabs>
        <w:ind w:left="360" w:hanging="360"/>
      </w:pPr>
      <w:rPr>
        <w:rFonts w:cs="Times New Roman"/>
      </w:rPr>
    </w:lvl>
    <w:lvl w:ilvl="1" w:tplc="04090019" w:tentative="true">
      <w:start w:val="1"/>
      <w:numFmt w:val="lowerLetter"/>
      <w:lvlText w:val="%2."/>
      <w:lvlJc w:val="left"/>
      <w:pPr>
        <w:tabs>
          <w:tab w:val="num" w:pos="1080"/>
        </w:tabs>
        <w:ind w:left="1080" w:hanging="360"/>
      </w:pPr>
      <w:rPr>
        <w:rFonts w:cs="Times New Roman"/>
      </w:rPr>
    </w:lvl>
    <w:lvl w:ilvl="2" w:tplc="0409001B" w:tentative="true">
      <w:start w:val="1"/>
      <w:numFmt w:val="lowerRoman"/>
      <w:lvlText w:val="%3."/>
      <w:lvlJc w:val="right"/>
      <w:pPr>
        <w:tabs>
          <w:tab w:val="num" w:pos="1800"/>
        </w:tabs>
        <w:ind w:left="1800" w:hanging="180"/>
      </w:pPr>
      <w:rPr>
        <w:rFonts w:cs="Times New Roman"/>
      </w:rPr>
    </w:lvl>
    <w:lvl w:ilvl="3" w:tplc="0409000F" w:tentative="true">
      <w:start w:val="1"/>
      <w:numFmt w:val="decimal"/>
      <w:lvlText w:val="%4."/>
      <w:lvlJc w:val="left"/>
      <w:pPr>
        <w:tabs>
          <w:tab w:val="num" w:pos="2520"/>
        </w:tabs>
        <w:ind w:left="2520" w:hanging="360"/>
      </w:pPr>
      <w:rPr>
        <w:rFonts w:cs="Times New Roman"/>
      </w:rPr>
    </w:lvl>
    <w:lvl w:ilvl="4" w:tplc="04090019" w:tentative="true">
      <w:start w:val="1"/>
      <w:numFmt w:val="lowerLetter"/>
      <w:lvlText w:val="%5."/>
      <w:lvlJc w:val="left"/>
      <w:pPr>
        <w:tabs>
          <w:tab w:val="num" w:pos="3240"/>
        </w:tabs>
        <w:ind w:left="3240" w:hanging="360"/>
      </w:pPr>
      <w:rPr>
        <w:rFonts w:cs="Times New Roman"/>
      </w:rPr>
    </w:lvl>
    <w:lvl w:ilvl="5" w:tplc="0409001B" w:tentative="true">
      <w:start w:val="1"/>
      <w:numFmt w:val="lowerRoman"/>
      <w:lvlText w:val="%6."/>
      <w:lvlJc w:val="right"/>
      <w:pPr>
        <w:tabs>
          <w:tab w:val="num" w:pos="3960"/>
        </w:tabs>
        <w:ind w:left="3960" w:hanging="180"/>
      </w:pPr>
      <w:rPr>
        <w:rFonts w:cs="Times New Roman"/>
      </w:rPr>
    </w:lvl>
    <w:lvl w:ilvl="6" w:tplc="0409000F" w:tentative="true">
      <w:start w:val="1"/>
      <w:numFmt w:val="decimal"/>
      <w:lvlText w:val="%7."/>
      <w:lvlJc w:val="left"/>
      <w:pPr>
        <w:tabs>
          <w:tab w:val="num" w:pos="4680"/>
        </w:tabs>
        <w:ind w:left="4680" w:hanging="360"/>
      </w:pPr>
      <w:rPr>
        <w:rFonts w:cs="Times New Roman"/>
      </w:rPr>
    </w:lvl>
    <w:lvl w:ilvl="7" w:tplc="04090019" w:tentative="true">
      <w:start w:val="1"/>
      <w:numFmt w:val="lowerLetter"/>
      <w:lvlText w:val="%8."/>
      <w:lvlJc w:val="left"/>
      <w:pPr>
        <w:tabs>
          <w:tab w:val="num" w:pos="5400"/>
        </w:tabs>
        <w:ind w:left="5400" w:hanging="360"/>
      </w:pPr>
      <w:rPr>
        <w:rFonts w:cs="Times New Roman"/>
      </w:rPr>
    </w:lvl>
    <w:lvl w:ilvl="8" w:tplc="0409001B" w:tentative="true">
      <w:start w:val="1"/>
      <w:numFmt w:val="lowerRoman"/>
      <w:lvlText w:val="%9."/>
      <w:lvlJc w:val="right"/>
      <w:pPr>
        <w:tabs>
          <w:tab w:val="num" w:pos="6120"/>
        </w:tabs>
        <w:ind w:left="6120" w:hanging="180"/>
      </w:pPr>
      <w:rPr>
        <w:rFonts w:cs="Times New Roman"/>
      </w:rPr>
    </w:lvl>
  </w:abstractNum>
  <w:abstractNum w:abstractNumId="18">
    <w:nsid w:val="7CAD51AB"/>
    <w:multiLevelType w:val="hybridMultilevel"/>
    <w:tmpl w:val="242AB0BC"/>
    <w:lvl w:ilvl="0" w:tplc="0409000F">
      <w:start w:val="1"/>
      <w:numFmt w:val="decimal"/>
      <w:lvlText w:val="%1."/>
      <w:lvlJc w:val="left"/>
      <w:pPr>
        <w:tabs>
          <w:tab w:val="num" w:pos="360"/>
        </w:tabs>
        <w:ind w:left="360" w:hanging="360"/>
      </w:pPr>
      <w:rPr>
        <w:rFonts w:hint="default" w:cs="Times New Roman"/>
      </w:rPr>
    </w:lvl>
    <w:lvl w:ilvl="1" w:tplc="04090019" w:tentative="true">
      <w:start w:val="1"/>
      <w:numFmt w:val="lowerLetter"/>
      <w:lvlText w:val="%2."/>
      <w:lvlJc w:val="left"/>
      <w:pPr>
        <w:tabs>
          <w:tab w:val="num" w:pos="1080"/>
        </w:tabs>
        <w:ind w:left="1080" w:hanging="360"/>
      </w:pPr>
      <w:rPr>
        <w:rFonts w:cs="Times New Roman"/>
      </w:rPr>
    </w:lvl>
    <w:lvl w:ilvl="2" w:tplc="0409001B" w:tentative="true">
      <w:start w:val="1"/>
      <w:numFmt w:val="lowerRoman"/>
      <w:lvlText w:val="%3."/>
      <w:lvlJc w:val="right"/>
      <w:pPr>
        <w:tabs>
          <w:tab w:val="num" w:pos="1800"/>
        </w:tabs>
        <w:ind w:left="1800" w:hanging="180"/>
      </w:pPr>
      <w:rPr>
        <w:rFonts w:cs="Times New Roman"/>
      </w:rPr>
    </w:lvl>
    <w:lvl w:ilvl="3" w:tplc="0409000F" w:tentative="true">
      <w:start w:val="1"/>
      <w:numFmt w:val="decimal"/>
      <w:lvlText w:val="%4."/>
      <w:lvlJc w:val="left"/>
      <w:pPr>
        <w:tabs>
          <w:tab w:val="num" w:pos="2520"/>
        </w:tabs>
        <w:ind w:left="2520" w:hanging="360"/>
      </w:pPr>
      <w:rPr>
        <w:rFonts w:cs="Times New Roman"/>
      </w:rPr>
    </w:lvl>
    <w:lvl w:ilvl="4" w:tplc="04090019" w:tentative="true">
      <w:start w:val="1"/>
      <w:numFmt w:val="lowerLetter"/>
      <w:lvlText w:val="%5."/>
      <w:lvlJc w:val="left"/>
      <w:pPr>
        <w:tabs>
          <w:tab w:val="num" w:pos="3240"/>
        </w:tabs>
        <w:ind w:left="3240" w:hanging="360"/>
      </w:pPr>
      <w:rPr>
        <w:rFonts w:cs="Times New Roman"/>
      </w:rPr>
    </w:lvl>
    <w:lvl w:ilvl="5" w:tplc="0409001B" w:tentative="true">
      <w:start w:val="1"/>
      <w:numFmt w:val="lowerRoman"/>
      <w:lvlText w:val="%6."/>
      <w:lvlJc w:val="right"/>
      <w:pPr>
        <w:tabs>
          <w:tab w:val="num" w:pos="3960"/>
        </w:tabs>
        <w:ind w:left="3960" w:hanging="180"/>
      </w:pPr>
      <w:rPr>
        <w:rFonts w:cs="Times New Roman"/>
      </w:rPr>
    </w:lvl>
    <w:lvl w:ilvl="6" w:tplc="0409000F" w:tentative="true">
      <w:start w:val="1"/>
      <w:numFmt w:val="decimal"/>
      <w:lvlText w:val="%7."/>
      <w:lvlJc w:val="left"/>
      <w:pPr>
        <w:tabs>
          <w:tab w:val="num" w:pos="4680"/>
        </w:tabs>
        <w:ind w:left="4680" w:hanging="360"/>
      </w:pPr>
      <w:rPr>
        <w:rFonts w:cs="Times New Roman"/>
      </w:rPr>
    </w:lvl>
    <w:lvl w:ilvl="7" w:tplc="04090019" w:tentative="true">
      <w:start w:val="1"/>
      <w:numFmt w:val="lowerLetter"/>
      <w:lvlText w:val="%8."/>
      <w:lvlJc w:val="left"/>
      <w:pPr>
        <w:tabs>
          <w:tab w:val="num" w:pos="5400"/>
        </w:tabs>
        <w:ind w:left="5400" w:hanging="360"/>
      </w:pPr>
      <w:rPr>
        <w:rFonts w:cs="Times New Roman"/>
      </w:rPr>
    </w:lvl>
    <w:lvl w:ilvl="8" w:tplc="0409001B" w:tentative="true">
      <w:start w:val="1"/>
      <w:numFmt w:val="lowerRoman"/>
      <w:lvlText w:val="%9."/>
      <w:lvlJc w:val="right"/>
      <w:pPr>
        <w:tabs>
          <w:tab w:val="num" w:pos="6120"/>
        </w:tabs>
        <w:ind w:left="6120" w:hanging="180"/>
      </w:pPr>
      <w:rPr>
        <w:rFonts w:cs="Times New Roman"/>
      </w:rPr>
    </w:lvl>
  </w:abstractNum>
  <w:num w:numId="1">
    <w:abstractNumId w:val="11"/>
  </w:num>
  <w:num w:numId="2">
    <w:abstractNumId w:val="9"/>
  </w:num>
  <w:num w:numId="3">
    <w:abstractNumId w:val="7"/>
  </w:num>
  <w:num w:numId="4">
    <w:abstractNumId w:val="6"/>
  </w:num>
  <w:num w:numId="5">
    <w:abstractNumId w:val="5"/>
  </w:num>
  <w:num w:numId="6">
    <w:abstractNumId w:val="4"/>
  </w:num>
  <w:num w:numId="7">
    <w:abstractNumId w:val="8"/>
  </w:num>
  <w:num w:numId="8">
    <w:abstractNumId w:val="3"/>
  </w:num>
  <w:num w:numId="9">
    <w:abstractNumId w:val="2"/>
  </w:num>
  <w:num w:numId="10">
    <w:abstractNumId w:val="1"/>
  </w:num>
  <w:num w:numId="11">
    <w:abstractNumId w:val="0"/>
  </w:num>
  <w:num w:numId="12">
    <w:abstractNumId w:val="10"/>
  </w:num>
  <w:num w:numId="13">
    <w:abstractNumId w:val="18"/>
  </w:num>
  <w:num w:numId="14">
    <w:abstractNumId w:val="17"/>
  </w:num>
  <w:num w:numId="15">
    <w:abstractNumId w:val="12"/>
  </w:num>
  <w:num w:numId="16">
    <w:abstractNumId w:val="15"/>
  </w:num>
  <w:num w:numId="17">
    <w:abstractNumId w:val="16"/>
  </w:num>
  <w:num w:numId="18">
    <w:abstractNumId w:val="14"/>
  </w:num>
  <w:num w:numId="1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3"/>
    <w:lvlOverride w:ilvl="0">
      <w:startOverride w:val="1"/>
    </w:lvlOverride>
  </w:num>
  <w:num w:numId="21">
    <w:abstractNumId w:val="3"/>
    <w:lvlOverride w:ilvl="0">
      <w:startOverride w:val="1"/>
    </w:lvlOverride>
  </w:num>
  <w:num w:numId="22">
    <w:abstractNumId w:val="3"/>
    <w:lvlOverride w:ilvl="0">
      <w:startOverride w:val="1"/>
    </w:lvlOverride>
  </w:num>
  <w:num w:numId="23">
    <w:abstractNumId w:val="3"/>
    <w:lvlOverride w:ilvl="0">
      <w:startOverride w:val="1"/>
    </w:lvlOverride>
  </w:num>
  <w:num w:numId="24">
    <w:abstractNumId w:val="3"/>
    <w:lvlOverride w:ilvl="0">
      <w:startOverride w:val="1"/>
    </w:lvlOverride>
  </w:num>
  <w:num w:numId="25">
    <w:abstractNumId w:val="3"/>
    <w:lvlOverride w:ilvl="0">
      <w:startOverride w:val="1"/>
    </w:lvlOverride>
  </w:num>
  <w:num w:numId="26">
    <w:abstractNumId w:val="3"/>
    <w:lvlOverride w:ilvl="0">
      <w:startOverride w:val="1"/>
    </w:lvlOverride>
  </w:num>
  <w:num w:numId="27">
    <w:abstractNumId w:val="3"/>
    <w:lvlOverride w:ilvl="0">
      <w:startOverride w:val="1"/>
    </w:lvlOverride>
  </w:num>
</w:numbering>
</file>

<file path=word/settings.xml><?xml version="1.0" encoding="utf-8"?>
<w:settings xmlns:w="http://schemas.openxmlformats.org/wordprocessingml/2006/main" xmlns:w14="http://schemas.microsoft.com/office/word/2010/wordml" xmlns:r="http://schemas.openxmlformats.org/officeDocument/2006/relationships" xmlns:m="http://schemas.openxmlformats.org/officeDocument/2006/math" xmlns:w15="http://schemas.microsoft.com/office/word/2012/wordml" xmlns:ns27="http://schemas.openxmlformats.org/schemaLibrary/2006/main" xmlns:mc="http://schemas.openxmlformats.org/markup-compatibility/2006" xmlns:wp="http://schemas.openxmlformats.org/drawingml/2006/wordprocessingDrawing" xmlns:a="http://schemas.openxmlformats.org/drawingml/2006/main" mc:Ignorable=" w15">
  <w:view w:val="print"/>
  <w:zoom w:percent="100"/>
  <w:documentProtection w:edit="readOnly" w:enforcement="true" w:cryptProviderType="rsaFull" w:cryptAlgorithmClass="hash" w:cryptAlgorithmType="typeAny" w:cryptAlgorithmSid="4" w:cryptSpinCount="100000" w:hash="OW9ON25Xa0NBeUVaaWIxUm9tU0pUam1QcENZPQ==" w:salt="WlVkSGErRDhGL09BS1AzSTdzc1VuUT09"/>
  <w:defaultTabStop w:val="720"/>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EF3550"/>
    <w:rsid w:val="00002A02"/>
    <w:rsid w:val="000043C4"/>
    <w:rsid w:val="00004F01"/>
    <w:rsid w:val="000116B2"/>
    <w:rsid w:val="00011967"/>
    <w:rsid w:val="00012AEB"/>
    <w:rsid w:val="00017F72"/>
    <w:rsid w:val="000204C7"/>
    <w:rsid w:val="00022010"/>
    <w:rsid w:val="00022BFE"/>
    <w:rsid w:val="00023F52"/>
    <w:rsid w:val="00024464"/>
    <w:rsid w:val="000245E3"/>
    <w:rsid w:val="0002476A"/>
    <w:rsid w:val="00026149"/>
    <w:rsid w:val="00027899"/>
    <w:rsid w:val="00027B5A"/>
    <w:rsid w:val="0003161B"/>
    <w:rsid w:val="0003185F"/>
    <w:rsid w:val="00031FC3"/>
    <w:rsid w:val="00031FC6"/>
    <w:rsid w:val="00032C1E"/>
    <w:rsid w:val="0003300B"/>
    <w:rsid w:val="00035628"/>
    <w:rsid w:val="000357CA"/>
    <w:rsid w:val="00035A92"/>
    <w:rsid w:val="00035CA8"/>
    <w:rsid w:val="00035F04"/>
    <w:rsid w:val="00036CA1"/>
    <w:rsid w:val="00042BB7"/>
    <w:rsid w:val="00043DF8"/>
    <w:rsid w:val="00044565"/>
    <w:rsid w:val="000451C5"/>
    <w:rsid w:val="0004603E"/>
    <w:rsid w:val="00046899"/>
    <w:rsid w:val="00047E3E"/>
    <w:rsid w:val="000518AA"/>
    <w:rsid w:val="00051ED8"/>
    <w:rsid w:val="00053E62"/>
    <w:rsid w:val="00056828"/>
    <w:rsid w:val="00057E29"/>
    <w:rsid w:val="00060CD3"/>
    <w:rsid w:val="00060CE4"/>
    <w:rsid w:val="00061775"/>
    <w:rsid w:val="00061845"/>
    <w:rsid w:val="00061B37"/>
    <w:rsid w:val="00061C6C"/>
    <w:rsid w:val="000620FD"/>
    <w:rsid w:val="000634B1"/>
    <w:rsid w:val="00066D3C"/>
    <w:rsid w:val="000670CF"/>
    <w:rsid w:val="0006719A"/>
    <w:rsid w:val="0006773B"/>
    <w:rsid w:val="00067FB3"/>
    <w:rsid w:val="00067FD4"/>
    <w:rsid w:val="00070504"/>
    <w:rsid w:val="00070D1B"/>
    <w:rsid w:val="00072C8A"/>
    <w:rsid w:val="00072E1F"/>
    <w:rsid w:val="00073002"/>
    <w:rsid w:val="00073D42"/>
    <w:rsid w:val="00074874"/>
    <w:rsid w:val="00075338"/>
    <w:rsid w:val="00075389"/>
    <w:rsid w:val="00075F3E"/>
    <w:rsid w:val="00076459"/>
    <w:rsid w:val="0007671C"/>
    <w:rsid w:val="0007671E"/>
    <w:rsid w:val="00077100"/>
    <w:rsid w:val="0007735F"/>
    <w:rsid w:val="000803B0"/>
    <w:rsid w:val="00080ECB"/>
    <w:rsid w:val="00081136"/>
    <w:rsid w:val="000825DF"/>
    <w:rsid w:val="000831B8"/>
    <w:rsid w:val="00083B49"/>
    <w:rsid w:val="00084074"/>
    <w:rsid w:val="0008531E"/>
    <w:rsid w:val="00085ECE"/>
    <w:rsid w:val="0008729C"/>
    <w:rsid w:val="0008764E"/>
    <w:rsid w:val="00087BEC"/>
    <w:rsid w:val="000906C3"/>
    <w:rsid w:val="000907DA"/>
    <w:rsid w:val="00090BC2"/>
    <w:rsid w:val="00091139"/>
    <w:rsid w:val="000916BB"/>
    <w:rsid w:val="00091F70"/>
    <w:rsid w:val="0009419A"/>
    <w:rsid w:val="0009419B"/>
    <w:rsid w:val="000942E0"/>
    <w:rsid w:val="00096632"/>
    <w:rsid w:val="00096ADC"/>
    <w:rsid w:val="00096BAB"/>
    <w:rsid w:val="00096FE3"/>
    <w:rsid w:val="000A0B94"/>
    <w:rsid w:val="000A2579"/>
    <w:rsid w:val="000A32D4"/>
    <w:rsid w:val="000A3328"/>
    <w:rsid w:val="000A3869"/>
    <w:rsid w:val="000A3AF5"/>
    <w:rsid w:val="000A3AFF"/>
    <w:rsid w:val="000A526E"/>
    <w:rsid w:val="000A6604"/>
    <w:rsid w:val="000A68E3"/>
    <w:rsid w:val="000A77DE"/>
    <w:rsid w:val="000A7C39"/>
    <w:rsid w:val="000A7EB6"/>
    <w:rsid w:val="000B013B"/>
    <w:rsid w:val="000B1525"/>
    <w:rsid w:val="000B2B4C"/>
    <w:rsid w:val="000B3461"/>
    <w:rsid w:val="000B45BD"/>
    <w:rsid w:val="000B5D24"/>
    <w:rsid w:val="000B5E6C"/>
    <w:rsid w:val="000B7A3C"/>
    <w:rsid w:val="000B7A4F"/>
    <w:rsid w:val="000C0482"/>
    <w:rsid w:val="000C0752"/>
    <w:rsid w:val="000C0905"/>
    <w:rsid w:val="000C20FC"/>
    <w:rsid w:val="000C265E"/>
    <w:rsid w:val="000C3ACA"/>
    <w:rsid w:val="000C45E2"/>
    <w:rsid w:val="000C50CD"/>
    <w:rsid w:val="000C57EA"/>
    <w:rsid w:val="000C666E"/>
    <w:rsid w:val="000C6A91"/>
    <w:rsid w:val="000D0182"/>
    <w:rsid w:val="000D734A"/>
    <w:rsid w:val="000E1CA1"/>
    <w:rsid w:val="000E1DFB"/>
    <w:rsid w:val="000E1F9B"/>
    <w:rsid w:val="000E5032"/>
    <w:rsid w:val="000E6121"/>
    <w:rsid w:val="000E640E"/>
    <w:rsid w:val="000E6B9A"/>
    <w:rsid w:val="000E6CB6"/>
    <w:rsid w:val="000F04AF"/>
    <w:rsid w:val="000F0A25"/>
    <w:rsid w:val="000F0EFD"/>
    <w:rsid w:val="000F3A3D"/>
    <w:rsid w:val="000F421A"/>
    <w:rsid w:val="000F50DB"/>
    <w:rsid w:val="000F79C7"/>
    <w:rsid w:val="00101E3D"/>
    <w:rsid w:val="00102442"/>
    <w:rsid w:val="00104624"/>
    <w:rsid w:val="001048FD"/>
    <w:rsid w:val="00105DC0"/>
    <w:rsid w:val="001062D4"/>
    <w:rsid w:val="00106EFD"/>
    <w:rsid w:val="00106FF7"/>
    <w:rsid w:val="001075F0"/>
    <w:rsid w:val="001105E4"/>
    <w:rsid w:val="00110971"/>
    <w:rsid w:val="00110B76"/>
    <w:rsid w:val="00111C8B"/>
    <w:rsid w:val="00112002"/>
    <w:rsid w:val="00112699"/>
    <w:rsid w:val="00112F30"/>
    <w:rsid w:val="00114CA6"/>
    <w:rsid w:val="00115066"/>
    <w:rsid w:val="001153EB"/>
    <w:rsid w:val="001162C9"/>
    <w:rsid w:val="00117CAF"/>
    <w:rsid w:val="00122C6E"/>
    <w:rsid w:val="00123B67"/>
    <w:rsid w:val="00123DFF"/>
    <w:rsid w:val="001253CD"/>
    <w:rsid w:val="00125428"/>
    <w:rsid w:val="0012585F"/>
    <w:rsid w:val="00125ED6"/>
    <w:rsid w:val="00125EDF"/>
    <w:rsid w:val="00125FCA"/>
    <w:rsid w:val="00126214"/>
    <w:rsid w:val="0012653E"/>
    <w:rsid w:val="00132227"/>
    <w:rsid w:val="00132CEA"/>
    <w:rsid w:val="001338F6"/>
    <w:rsid w:val="0013404D"/>
    <w:rsid w:val="00134585"/>
    <w:rsid w:val="00134B11"/>
    <w:rsid w:val="00134B79"/>
    <w:rsid w:val="00135B76"/>
    <w:rsid w:val="00135B92"/>
    <w:rsid w:val="00135EA7"/>
    <w:rsid w:val="0013605A"/>
    <w:rsid w:val="001414E7"/>
    <w:rsid w:val="00141F8B"/>
    <w:rsid w:val="001420F3"/>
    <w:rsid w:val="0014372F"/>
    <w:rsid w:val="0014389C"/>
    <w:rsid w:val="001438D9"/>
    <w:rsid w:val="00144738"/>
    <w:rsid w:val="0014489D"/>
    <w:rsid w:val="00144B6F"/>
    <w:rsid w:val="00145923"/>
    <w:rsid w:val="001460FB"/>
    <w:rsid w:val="00150B00"/>
    <w:rsid w:val="00151CD8"/>
    <w:rsid w:val="00155D8F"/>
    <w:rsid w:val="00156045"/>
    <w:rsid w:val="00156205"/>
    <w:rsid w:val="0016089C"/>
    <w:rsid w:val="00160A20"/>
    <w:rsid w:val="00160AC1"/>
    <w:rsid w:val="00161DF7"/>
    <w:rsid w:val="00161E9E"/>
    <w:rsid w:val="0016267E"/>
    <w:rsid w:val="0016294A"/>
    <w:rsid w:val="00162952"/>
    <w:rsid w:val="00162A99"/>
    <w:rsid w:val="00163BA8"/>
    <w:rsid w:val="00164969"/>
    <w:rsid w:val="00165B3F"/>
    <w:rsid w:val="001664F7"/>
    <w:rsid w:val="00166581"/>
    <w:rsid w:val="001703C2"/>
    <w:rsid w:val="0017151A"/>
    <w:rsid w:val="00171C07"/>
    <w:rsid w:val="001728FD"/>
    <w:rsid w:val="00172D3C"/>
    <w:rsid w:val="00172F68"/>
    <w:rsid w:val="00173F87"/>
    <w:rsid w:val="00174EFD"/>
    <w:rsid w:val="00175A92"/>
    <w:rsid w:val="001763BE"/>
    <w:rsid w:val="00176F2C"/>
    <w:rsid w:val="0017732A"/>
    <w:rsid w:val="0017755E"/>
    <w:rsid w:val="00177DEF"/>
    <w:rsid w:val="00180753"/>
    <w:rsid w:val="00184182"/>
    <w:rsid w:val="00184CFB"/>
    <w:rsid w:val="001859B2"/>
    <w:rsid w:val="00186F79"/>
    <w:rsid w:val="001871CE"/>
    <w:rsid w:val="00190078"/>
    <w:rsid w:val="00190AEC"/>
    <w:rsid w:val="0019375E"/>
    <w:rsid w:val="00193AF0"/>
    <w:rsid w:val="00194176"/>
    <w:rsid w:val="00194AA8"/>
    <w:rsid w:val="00194CDA"/>
    <w:rsid w:val="00196757"/>
    <w:rsid w:val="00197A7A"/>
    <w:rsid w:val="001A0074"/>
    <w:rsid w:val="001A0F7B"/>
    <w:rsid w:val="001A1131"/>
    <w:rsid w:val="001A3741"/>
    <w:rsid w:val="001A53F5"/>
    <w:rsid w:val="001A6644"/>
    <w:rsid w:val="001A6827"/>
    <w:rsid w:val="001A6828"/>
    <w:rsid w:val="001A6F81"/>
    <w:rsid w:val="001A7F28"/>
    <w:rsid w:val="001B0567"/>
    <w:rsid w:val="001B0976"/>
    <w:rsid w:val="001B0B82"/>
    <w:rsid w:val="001B104C"/>
    <w:rsid w:val="001B165C"/>
    <w:rsid w:val="001B5AF8"/>
    <w:rsid w:val="001B6520"/>
    <w:rsid w:val="001B6936"/>
    <w:rsid w:val="001B6B2A"/>
    <w:rsid w:val="001B75E2"/>
    <w:rsid w:val="001B7DB9"/>
    <w:rsid w:val="001C1F9F"/>
    <w:rsid w:val="001C2C82"/>
    <w:rsid w:val="001C3493"/>
    <w:rsid w:val="001C3C19"/>
    <w:rsid w:val="001C4867"/>
    <w:rsid w:val="001C5A25"/>
    <w:rsid w:val="001C61C3"/>
    <w:rsid w:val="001C7A55"/>
    <w:rsid w:val="001D0384"/>
    <w:rsid w:val="001D0B01"/>
    <w:rsid w:val="001D2011"/>
    <w:rsid w:val="001D20E3"/>
    <w:rsid w:val="001D285F"/>
    <w:rsid w:val="001D4882"/>
    <w:rsid w:val="001D5457"/>
    <w:rsid w:val="001D606F"/>
    <w:rsid w:val="001D6ECF"/>
    <w:rsid w:val="001D759E"/>
    <w:rsid w:val="001D78ED"/>
    <w:rsid w:val="001E04AE"/>
    <w:rsid w:val="001E1072"/>
    <w:rsid w:val="001E1C24"/>
    <w:rsid w:val="001E2A29"/>
    <w:rsid w:val="001E3EA8"/>
    <w:rsid w:val="001E4FF9"/>
    <w:rsid w:val="001E5B8D"/>
    <w:rsid w:val="001E5D7F"/>
    <w:rsid w:val="001E5F46"/>
    <w:rsid w:val="001E6702"/>
    <w:rsid w:val="001E763D"/>
    <w:rsid w:val="001E7D42"/>
    <w:rsid w:val="001F0EA8"/>
    <w:rsid w:val="001F12C7"/>
    <w:rsid w:val="001F1BE7"/>
    <w:rsid w:val="001F21A9"/>
    <w:rsid w:val="001F2361"/>
    <w:rsid w:val="001F3C7D"/>
    <w:rsid w:val="001F5674"/>
    <w:rsid w:val="001F5909"/>
    <w:rsid w:val="001F6123"/>
    <w:rsid w:val="001F68DE"/>
    <w:rsid w:val="001F71E8"/>
    <w:rsid w:val="001F7A14"/>
    <w:rsid w:val="00202AD9"/>
    <w:rsid w:val="0020501B"/>
    <w:rsid w:val="00205644"/>
    <w:rsid w:val="00205CCE"/>
    <w:rsid w:val="00206330"/>
    <w:rsid w:val="00207B76"/>
    <w:rsid w:val="00212C6C"/>
    <w:rsid w:val="00212E96"/>
    <w:rsid w:val="002137A1"/>
    <w:rsid w:val="00214170"/>
    <w:rsid w:val="002146C2"/>
    <w:rsid w:val="00217B66"/>
    <w:rsid w:val="0022066D"/>
    <w:rsid w:val="002209D7"/>
    <w:rsid w:val="00221262"/>
    <w:rsid w:val="00221D81"/>
    <w:rsid w:val="002228FF"/>
    <w:rsid w:val="00223C84"/>
    <w:rsid w:val="00224741"/>
    <w:rsid w:val="00224CD2"/>
    <w:rsid w:val="00224EEE"/>
    <w:rsid w:val="00225B4A"/>
    <w:rsid w:val="00226B56"/>
    <w:rsid w:val="00226B59"/>
    <w:rsid w:val="002310E9"/>
    <w:rsid w:val="002323D0"/>
    <w:rsid w:val="00232FF7"/>
    <w:rsid w:val="0023315D"/>
    <w:rsid w:val="00233524"/>
    <w:rsid w:val="00233956"/>
    <w:rsid w:val="00233C4F"/>
    <w:rsid w:val="00234115"/>
    <w:rsid w:val="002346CD"/>
    <w:rsid w:val="00234E6D"/>
    <w:rsid w:val="00235072"/>
    <w:rsid w:val="00235DD9"/>
    <w:rsid w:val="00236F35"/>
    <w:rsid w:val="00236F9D"/>
    <w:rsid w:val="00240AEF"/>
    <w:rsid w:val="002421F6"/>
    <w:rsid w:val="0024397D"/>
    <w:rsid w:val="00243CAA"/>
    <w:rsid w:val="00245646"/>
    <w:rsid w:val="00246AA2"/>
    <w:rsid w:val="00247E65"/>
    <w:rsid w:val="00251092"/>
    <w:rsid w:val="00254774"/>
    <w:rsid w:val="00255773"/>
    <w:rsid w:val="0025577D"/>
    <w:rsid w:val="00255A4D"/>
    <w:rsid w:val="00255CB4"/>
    <w:rsid w:val="00256481"/>
    <w:rsid w:val="00260978"/>
    <w:rsid w:val="00262251"/>
    <w:rsid w:val="00263CA8"/>
    <w:rsid w:val="00263E78"/>
    <w:rsid w:val="002643F3"/>
    <w:rsid w:val="0026448F"/>
    <w:rsid w:val="00264D83"/>
    <w:rsid w:val="00264DCA"/>
    <w:rsid w:val="0026535F"/>
    <w:rsid w:val="00265702"/>
    <w:rsid w:val="00265B92"/>
    <w:rsid w:val="002660BC"/>
    <w:rsid w:val="00267FE2"/>
    <w:rsid w:val="002704DC"/>
    <w:rsid w:val="002707F7"/>
    <w:rsid w:val="00270B46"/>
    <w:rsid w:val="002721FA"/>
    <w:rsid w:val="002728E4"/>
    <w:rsid w:val="00272E1D"/>
    <w:rsid w:val="002756BF"/>
    <w:rsid w:val="00275F5E"/>
    <w:rsid w:val="00276994"/>
    <w:rsid w:val="002769B1"/>
    <w:rsid w:val="00277A52"/>
    <w:rsid w:val="002820AA"/>
    <w:rsid w:val="002826D8"/>
    <w:rsid w:val="00283496"/>
    <w:rsid w:val="00284E5C"/>
    <w:rsid w:val="002867C7"/>
    <w:rsid w:val="00287443"/>
    <w:rsid w:val="002931ED"/>
    <w:rsid w:val="00293EC8"/>
    <w:rsid w:val="00294383"/>
    <w:rsid w:val="00294B1B"/>
    <w:rsid w:val="00294CA9"/>
    <w:rsid w:val="0029541C"/>
    <w:rsid w:val="00295998"/>
    <w:rsid w:val="00296E8B"/>
    <w:rsid w:val="002A0A98"/>
    <w:rsid w:val="002A1255"/>
    <w:rsid w:val="002A1C64"/>
    <w:rsid w:val="002A2068"/>
    <w:rsid w:val="002A206F"/>
    <w:rsid w:val="002A2980"/>
    <w:rsid w:val="002A4196"/>
    <w:rsid w:val="002A4896"/>
    <w:rsid w:val="002A49B8"/>
    <w:rsid w:val="002A4E8C"/>
    <w:rsid w:val="002A5352"/>
    <w:rsid w:val="002A5489"/>
    <w:rsid w:val="002A5D07"/>
    <w:rsid w:val="002A5DBC"/>
    <w:rsid w:val="002A6136"/>
    <w:rsid w:val="002B0035"/>
    <w:rsid w:val="002B2457"/>
    <w:rsid w:val="002B2F4E"/>
    <w:rsid w:val="002B3F22"/>
    <w:rsid w:val="002B4000"/>
    <w:rsid w:val="002B4777"/>
    <w:rsid w:val="002B4BB8"/>
    <w:rsid w:val="002B524F"/>
    <w:rsid w:val="002B570A"/>
    <w:rsid w:val="002B59AC"/>
    <w:rsid w:val="002B5E03"/>
    <w:rsid w:val="002B601A"/>
    <w:rsid w:val="002B6F3F"/>
    <w:rsid w:val="002B743D"/>
    <w:rsid w:val="002C3395"/>
    <w:rsid w:val="002C35A0"/>
    <w:rsid w:val="002C44B2"/>
    <w:rsid w:val="002C547E"/>
    <w:rsid w:val="002C5F73"/>
    <w:rsid w:val="002C68A7"/>
    <w:rsid w:val="002D0264"/>
    <w:rsid w:val="002D177E"/>
    <w:rsid w:val="002D18F4"/>
    <w:rsid w:val="002D1B12"/>
    <w:rsid w:val="002D1EA4"/>
    <w:rsid w:val="002D34A9"/>
    <w:rsid w:val="002E250C"/>
    <w:rsid w:val="002E35A6"/>
    <w:rsid w:val="002E387C"/>
    <w:rsid w:val="002E65ED"/>
    <w:rsid w:val="002E675D"/>
    <w:rsid w:val="002E7287"/>
    <w:rsid w:val="002E75CF"/>
    <w:rsid w:val="002F3518"/>
    <w:rsid w:val="002F3BE8"/>
    <w:rsid w:val="002F4183"/>
    <w:rsid w:val="002F5987"/>
    <w:rsid w:val="002F5D01"/>
    <w:rsid w:val="002F7A63"/>
    <w:rsid w:val="0030038D"/>
    <w:rsid w:val="00300BAE"/>
    <w:rsid w:val="00302737"/>
    <w:rsid w:val="00304450"/>
    <w:rsid w:val="003045F6"/>
    <w:rsid w:val="003056D6"/>
    <w:rsid w:val="0030623B"/>
    <w:rsid w:val="00306E0A"/>
    <w:rsid w:val="00310AF5"/>
    <w:rsid w:val="003111F3"/>
    <w:rsid w:val="00312042"/>
    <w:rsid w:val="00314B0B"/>
    <w:rsid w:val="00315E87"/>
    <w:rsid w:val="00315F4C"/>
    <w:rsid w:val="0031640D"/>
    <w:rsid w:val="00316631"/>
    <w:rsid w:val="00316EE5"/>
    <w:rsid w:val="003173DC"/>
    <w:rsid w:val="0032078D"/>
    <w:rsid w:val="00321093"/>
    <w:rsid w:val="003212D5"/>
    <w:rsid w:val="00321368"/>
    <w:rsid w:val="00323C6D"/>
    <w:rsid w:val="0032440F"/>
    <w:rsid w:val="0032477D"/>
    <w:rsid w:val="003262D2"/>
    <w:rsid w:val="0032731B"/>
    <w:rsid w:val="00327499"/>
    <w:rsid w:val="00327DDD"/>
    <w:rsid w:val="0033195A"/>
    <w:rsid w:val="00332A82"/>
    <w:rsid w:val="00332B04"/>
    <w:rsid w:val="00333971"/>
    <w:rsid w:val="003343A2"/>
    <w:rsid w:val="003378C7"/>
    <w:rsid w:val="003407CE"/>
    <w:rsid w:val="00340D9C"/>
    <w:rsid w:val="00340E3D"/>
    <w:rsid w:val="0034130D"/>
    <w:rsid w:val="0034477A"/>
    <w:rsid w:val="00344D60"/>
    <w:rsid w:val="00346C40"/>
    <w:rsid w:val="00347AE0"/>
    <w:rsid w:val="00350294"/>
    <w:rsid w:val="003504FE"/>
    <w:rsid w:val="003514AE"/>
    <w:rsid w:val="00351CEF"/>
    <w:rsid w:val="003521B8"/>
    <w:rsid w:val="00352316"/>
    <w:rsid w:val="0035316E"/>
    <w:rsid w:val="003531CB"/>
    <w:rsid w:val="00354514"/>
    <w:rsid w:val="00354D12"/>
    <w:rsid w:val="003550DA"/>
    <w:rsid w:val="003553D6"/>
    <w:rsid w:val="003558E7"/>
    <w:rsid w:val="00355E4F"/>
    <w:rsid w:val="003564D1"/>
    <w:rsid w:val="00357C5C"/>
    <w:rsid w:val="003601E8"/>
    <w:rsid w:val="00361146"/>
    <w:rsid w:val="00361CC3"/>
    <w:rsid w:val="00362163"/>
    <w:rsid w:val="003622B9"/>
    <w:rsid w:val="00362486"/>
    <w:rsid w:val="0036281D"/>
    <w:rsid w:val="003655EA"/>
    <w:rsid w:val="00365CE8"/>
    <w:rsid w:val="00365F30"/>
    <w:rsid w:val="0036684C"/>
    <w:rsid w:val="0037043A"/>
    <w:rsid w:val="0037146A"/>
    <w:rsid w:val="00371AE2"/>
    <w:rsid w:val="00372C62"/>
    <w:rsid w:val="0037574E"/>
    <w:rsid w:val="00375820"/>
    <w:rsid w:val="00376799"/>
    <w:rsid w:val="00376812"/>
    <w:rsid w:val="003769A0"/>
    <w:rsid w:val="003778DA"/>
    <w:rsid w:val="00380C4B"/>
    <w:rsid w:val="003813BF"/>
    <w:rsid w:val="003814EF"/>
    <w:rsid w:val="00383004"/>
    <w:rsid w:val="00383267"/>
    <w:rsid w:val="00383DA8"/>
    <w:rsid w:val="00384469"/>
    <w:rsid w:val="00385F58"/>
    <w:rsid w:val="0039057C"/>
    <w:rsid w:val="003924E4"/>
    <w:rsid w:val="00393270"/>
    <w:rsid w:val="00393D1A"/>
    <w:rsid w:val="00394DF1"/>
    <w:rsid w:val="00394F4A"/>
    <w:rsid w:val="003974F9"/>
    <w:rsid w:val="003A05C5"/>
    <w:rsid w:val="003A0AF5"/>
    <w:rsid w:val="003A13CA"/>
    <w:rsid w:val="003A1AB1"/>
    <w:rsid w:val="003A231A"/>
    <w:rsid w:val="003A3022"/>
    <w:rsid w:val="003A35A7"/>
    <w:rsid w:val="003A3BED"/>
    <w:rsid w:val="003A3DFE"/>
    <w:rsid w:val="003A4F9E"/>
    <w:rsid w:val="003A683D"/>
    <w:rsid w:val="003A7DA4"/>
    <w:rsid w:val="003B2D3A"/>
    <w:rsid w:val="003B3D44"/>
    <w:rsid w:val="003B441D"/>
    <w:rsid w:val="003B47FF"/>
    <w:rsid w:val="003B5D48"/>
    <w:rsid w:val="003B66A4"/>
    <w:rsid w:val="003B77AF"/>
    <w:rsid w:val="003C0FDC"/>
    <w:rsid w:val="003C1628"/>
    <w:rsid w:val="003C170B"/>
    <w:rsid w:val="003C1968"/>
    <w:rsid w:val="003C276D"/>
    <w:rsid w:val="003C311E"/>
    <w:rsid w:val="003C3CA9"/>
    <w:rsid w:val="003D0515"/>
    <w:rsid w:val="003D0D09"/>
    <w:rsid w:val="003D20C4"/>
    <w:rsid w:val="003D2D3C"/>
    <w:rsid w:val="003D45C0"/>
    <w:rsid w:val="003D56FB"/>
    <w:rsid w:val="003D6CD4"/>
    <w:rsid w:val="003D6FCF"/>
    <w:rsid w:val="003D72A1"/>
    <w:rsid w:val="003E0485"/>
    <w:rsid w:val="003E22CB"/>
    <w:rsid w:val="003E24D0"/>
    <w:rsid w:val="003E258F"/>
    <w:rsid w:val="003E284D"/>
    <w:rsid w:val="003E33F9"/>
    <w:rsid w:val="003E3F93"/>
    <w:rsid w:val="003E4568"/>
    <w:rsid w:val="003E57C0"/>
    <w:rsid w:val="003E67B1"/>
    <w:rsid w:val="003E7057"/>
    <w:rsid w:val="003F38FB"/>
    <w:rsid w:val="003F5F7A"/>
    <w:rsid w:val="003F66D6"/>
    <w:rsid w:val="004000E2"/>
    <w:rsid w:val="00400274"/>
    <w:rsid w:val="00400586"/>
    <w:rsid w:val="00400B9A"/>
    <w:rsid w:val="00403D51"/>
    <w:rsid w:val="00407683"/>
    <w:rsid w:val="00413518"/>
    <w:rsid w:val="00414E91"/>
    <w:rsid w:val="00414E9D"/>
    <w:rsid w:val="00415BA6"/>
    <w:rsid w:val="004169C2"/>
    <w:rsid w:val="00416FB6"/>
    <w:rsid w:val="00417A3C"/>
    <w:rsid w:val="004216FD"/>
    <w:rsid w:val="00423F3B"/>
    <w:rsid w:val="00425815"/>
    <w:rsid w:val="00425D33"/>
    <w:rsid w:val="0043063F"/>
    <w:rsid w:val="004309C9"/>
    <w:rsid w:val="0043204C"/>
    <w:rsid w:val="00432796"/>
    <w:rsid w:val="00432EB4"/>
    <w:rsid w:val="00432FD3"/>
    <w:rsid w:val="004333AF"/>
    <w:rsid w:val="00434057"/>
    <w:rsid w:val="004340B1"/>
    <w:rsid w:val="00436166"/>
    <w:rsid w:val="0044241B"/>
    <w:rsid w:val="00443A29"/>
    <w:rsid w:val="004441CA"/>
    <w:rsid w:val="004448CA"/>
    <w:rsid w:val="00444933"/>
    <w:rsid w:val="00444BE8"/>
    <w:rsid w:val="004468BC"/>
    <w:rsid w:val="00447517"/>
    <w:rsid w:val="00450760"/>
    <w:rsid w:val="00451B1C"/>
    <w:rsid w:val="0045304E"/>
    <w:rsid w:val="00453780"/>
    <w:rsid w:val="0045398A"/>
    <w:rsid w:val="00453A5D"/>
    <w:rsid w:val="00455495"/>
    <w:rsid w:val="004560ED"/>
    <w:rsid w:val="00457CB4"/>
    <w:rsid w:val="004618A9"/>
    <w:rsid w:val="00461BC9"/>
    <w:rsid w:val="004628D1"/>
    <w:rsid w:val="0046519F"/>
    <w:rsid w:val="004657FC"/>
    <w:rsid w:val="0046678C"/>
    <w:rsid w:val="004702B9"/>
    <w:rsid w:val="0047093C"/>
    <w:rsid w:val="00470BB5"/>
    <w:rsid w:val="004713D1"/>
    <w:rsid w:val="004718FE"/>
    <w:rsid w:val="00472215"/>
    <w:rsid w:val="00474C83"/>
    <w:rsid w:val="00475E95"/>
    <w:rsid w:val="0048057D"/>
    <w:rsid w:val="00482925"/>
    <w:rsid w:val="004829FE"/>
    <w:rsid w:val="004839BA"/>
    <w:rsid w:val="00483E66"/>
    <w:rsid w:val="0048572B"/>
    <w:rsid w:val="00486E6B"/>
    <w:rsid w:val="00487807"/>
    <w:rsid w:val="00490153"/>
    <w:rsid w:val="00490E8F"/>
    <w:rsid w:val="00491F7D"/>
    <w:rsid w:val="00492522"/>
    <w:rsid w:val="00494561"/>
    <w:rsid w:val="0049737E"/>
    <w:rsid w:val="004A1D57"/>
    <w:rsid w:val="004A2076"/>
    <w:rsid w:val="004A2462"/>
    <w:rsid w:val="004A2870"/>
    <w:rsid w:val="004A2A46"/>
    <w:rsid w:val="004A5050"/>
    <w:rsid w:val="004A5D61"/>
    <w:rsid w:val="004A7384"/>
    <w:rsid w:val="004B2719"/>
    <w:rsid w:val="004B33B3"/>
    <w:rsid w:val="004B35BC"/>
    <w:rsid w:val="004B50AE"/>
    <w:rsid w:val="004B5288"/>
    <w:rsid w:val="004B5691"/>
    <w:rsid w:val="004B7342"/>
    <w:rsid w:val="004B7869"/>
    <w:rsid w:val="004C0183"/>
    <w:rsid w:val="004C0761"/>
    <w:rsid w:val="004C0929"/>
    <w:rsid w:val="004C280F"/>
    <w:rsid w:val="004C4853"/>
    <w:rsid w:val="004C4965"/>
    <w:rsid w:val="004C4E6E"/>
    <w:rsid w:val="004C554B"/>
    <w:rsid w:val="004C753E"/>
    <w:rsid w:val="004D12DD"/>
    <w:rsid w:val="004D1847"/>
    <w:rsid w:val="004D2EF4"/>
    <w:rsid w:val="004D3AE0"/>
    <w:rsid w:val="004D77EA"/>
    <w:rsid w:val="004E0272"/>
    <w:rsid w:val="004E06E9"/>
    <w:rsid w:val="004E2C11"/>
    <w:rsid w:val="004E2C3A"/>
    <w:rsid w:val="004E3D2D"/>
    <w:rsid w:val="004E50D0"/>
    <w:rsid w:val="004E5375"/>
    <w:rsid w:val="004F0565"/>
    <w:rsid w:val="004F07E5"/>
    <w:rsid w:val="004F0D4F"/>
    <w:rsid w:val="004F0F57"/>
    <w:rsid w:val="004F2470"/>
    <w:rsid w:val="004F38B8"/>
    <w:rsid w:val="004F3C75"/>
    <w:rsid w:val="004F4014"/>
    <w:rsid w:val="004F7A38"/>
    <w:rsid w:val="00501C6A"/>
    <w:rsid w:val="00503EE0"/>
    <w:rsid w:val="00504D2F"/>
    <w:rsid w:val="00504EE0"/>
    <w:rsid w:val="00505210"/>
    <w:rsid w:val="00505B84"/>
    <w:rsid w:val="005113F5"/>
    <w:rsid w:val="00511841"/>
    <w:rsid w:val="00512873"/>
    <w:rsid w:val="00512DF5"/>
    <w:rsid w:val="00513460"/>
    <w:rsid w:val="0051398E"/>
    <w:rsid w:val="0051545A"/>
    <w:rsid w:val="00515ECB"/>
    <w:rsid w:val="0051697E"/>
    <w:rsid w:val="00520E02"/>
    <w:rsid w:val="00520E90"/>
    <w:rsid w:val="00521B6A"/>
    <w:rsid w:val="0052234D"/>
    <w:rsid w:val="00523217"/>
    <w:rsid w:val="00524FC6"/>
    <w:rsid w:val="00530783"/>
    <w:rsid w:val="005307E1"/>
    <w:rsid w:val="00531A7C"/>
    <w:rsid w:val="005330F7"/>
    <w:rsid w:val="0053537A"/>
    <w:rsid w:val="00536B89"/>
    <w:rsid w:val="00536CE1"/>
    <w:rsid w:val="00537446"/>
    <w:rsid w:val="005401AF"/>
    <w:rsid w:val="00540586"/>
    <w:rsid w:val="00541D88"/>
    <w:rsid w:val="00542805"/>
    <w:rsid w:val="00542E35"/>
    <w:rsid w:val="00543835"/>
    <w:rsid w:val="005438C6"/>
    <w:rsid w:val="00546BE9"/>
    <w:rsid w:val="00550694"/>
    <w:rsid w:val="00551776"/>
    <w:rsid w:val="0055194F"/>
    <w:rsid w:val="00552158"/>
    <w:rsid w:val="005535E3"/>
    <w:rsid w:val="00553643"/>
    <w:rsid w:val="005546C9"/>
    <w:rsid w:val="00554930"/>
    <w:rsid w:val="00554D8C"/>
    <w:rsid w:val="00555179"/>
    <w:rsid w:val="005555AF"/>
    <w:rsid w:val="00555841"/>
    <w:rsid w:val="005566BD"/>
    <w:rsid w:val="00556A53"/>
    <w:rsid w:val="005607C4"/>
    <w:rsid w:val="00560DD5"/>
    <w:rsid w:val="005640FE"/>
    <w:rsid w:val="0056434A"/>
    <w:rsid w:val="00564D87"/>
    <w:rsid w:val="00566AD6"/>
    <w:rsid w:val="00571DC6"/>
    <w:rsid w:val="00571F71"/>
    <w:rsid w:val="005720BF"/>
    <w:rsid w:val="00572D8A"/>
    <w:rsid w:val="00572E71"/>
    <w:rsid w:val="0057365F"/>
    <w:rsid w:val="00575082"/>
    <w:rsid w:val="00575829"/>
    <w:rsid w:val="00575D4E"/>
    <w:rsid w:val="00577A52"/>
    <w:rsid w:val="005803CD"/>
    <w:rsid w:val="005816FC"/>
    <w:rsid w:val="00581869"/>
    <w:rsid w:val="005841EB"/>
    <w:rsid w:val="0058430F"/>
    <w:rsid w:val="00584916"/>
    <w:rsid w:val="00584C2C"/>
    <w:rsid w:val="00585FC7"/>
    <w:rsid w:val="005902D2"/>
    <w:rsid w:val="00590F4C"/>
    <w:rsid w:val="005913A4"/>
    <w:rsid w:val="00593BBA"/>
    <w:rsid w:val="00593FA5"/>
    <w:rsid w:val="005943CB"/>
    <w:rsid w:val="00594D9A"/>
    <w:rsid w:val="00597F2A"/>
    <w:rsid w:val="005A031D"/>
    <w:rsid w:val="005A06D4"/>
    <w:rsid w:val="005A0870"/>
    <w:rsid w:val="005A0E5F"/>
    <w:rsid w:val="005A22D2"/>
    <w:rsid w:val="005A28F5"/>
    <w:rsid w:val="005A384F"/>
    <w:rsid w:val="005A38E5"/>
    <w:rsid w:val="005A4CE7"/>
    <w:rsid w:val="005A56A4"/>
    <w:rsid w:val="005A6341"/>
    <w:rsid w:val="005A6511"/>
    <w:rsid w:val="005A6BFA"/>
    <w:rsid w:val="005A7B5B"/>
    <w:rsid w:val="005B114E"/>
    <w:rsid w:val="005B1C08"/>
    <w:rsid w:val="005B1C1A"/>
    <w:rsid w:val="005B1EB2"/>
    <w:rsid w:val="005B20F5"/>
    <w:rsid w:val="005B27DA"/>
    <w:rsid w:val="005B2D2F"/>
    <w:rsid w:val="005B3518"/>
    <w:rsid w:val="005C021E"/>
    <w:rsid w:val="005C17AC"/>
    <w:rsid w:val="005C1A32"/>
    <w:rsid w:val="005C2AC9"/>
    <w:rsid w:val="005C2AD9"/>
    <w:rsid w:val="005D0166"/>
    <w:rsid w:val="005D030E"/>
    <w:rsid w:val="005D0D3F"/>
    <w:rsid w:val="005D112C"/>
    <w:rsid w:val="005D1834"/>
    <w:rsid w:val="005D1DC9"/>
    <w:rsid w:val="005D28B7"/>
    <w:rsid w:val="005D3A3B"/>
    <w:rsid w:val="005D57FC"/>
    <w:rsid w:val="005D6D7E"/>
    <w:rsid w:val="005D74C7"/>
    <w:rsid w:val="005E0D03"/>
    <w:rsid w:val="005E24CF"/>
    <w:rsid w:val="005E3EC4"/>
    <w:rsid w:val="005E478F"/>
    <w:rsid w:val="005E5820"/>
    <w:rsid w:val="005E624A"/>
    <w:rsid w:val="005E669F"/>
    <w:rsid w:val="005E68A8"/>
    <w:rsid w:val="005E6E47"/>
    <w:rsid w:val="005F1334"/>
    <w:rsid w:val="005F227D"/>
    <w:rsid w:val="005F2D52"/>
    <w:rsid w:val="005F324E"/>
    <w:rsid w:val="005F3836"/>
    <w:rsid w:val="005F4464"/>
    <w:rsid w:val="005F4B6C"/>
    <w:rsid w:val="005F4E97"/>
    <w:rsid w:val="005F4F67"/>
    <w:rsid w:val="005F69CC"/>
    <w:rsid w:val="005F6F31"/>
    <w:rsid w:val="005F7C9B"/>
    <w:rsid w:val="005F7D60"/>
    <w:rsid w:val="0060180B"/>
    <w:rsid w:val="0060218E"/>
    <w:rsid w:val="00603AC8"/>
    <w:rsid w:val="00603D0C"/>
    <w:rsid w:val="00604622"/>
    <w:rsid w:val="006053DE"/>
    <w:rsid w:val="00611099"/>
    <w:rsid w:val="006113C3"/>
    <w:rsid w:val="00612D8D"/>
    <w:rsid w:val="00614481"/>
    <w:rsid w:val="0061448C"/>
    <w:rsid w:val="006151EC"/>
    <w:rsid w:val="00616684"/>
    <w:rsid w:val="00617974"/>
    <w:rsid w:val="006201FF"/>
    <w:rsid w:val="006211BC"/>
    <w:rsid w:val="0062186C"/>
    <w:rsid w:val="006222B0"/>
    <w:rsid w:val="00622F64"/>
    <w:rsid w:val="00624F53"/>
    <w:rsid w:val="00625012"/>
    <w:rsid w:val="00625B50"/>
    <w:rsid w:val="00625F02"/>
    <w:rsid w:val="00626214"/>
    <w:rsid w:val="00626273"/>
    <w:rsid w:val="0062742C"/>
    <w:rsid w:val="006278C0"/>
    <w:rsid w:val="006308DE"/>
    <w:rsid w:val="00631E30"/>
    <w:rsid w:val="00632401"/>
    <w:rsid w:val="00633095"/>
    <w:rsid w:val="00633253"/>
    <w:rsid w:val="006343B2"/>
    <w:rsid w:val="00634978"/>
    <w:rsid w:val="006349AE"/>
    <w:rsid w:val="00634F83"/>
    <w:rsid w:val="00637636"/>
    <w:rsid w:val="00640563"/>
    <w:rsid w:val="006412D8"/>
    <w:rsid w:val="0064190F"/>
    <w:rsid w:val="006434CD"/>
    <w:rsid w:val="006449FF"/>
    <w:rsid w:val="00644A8B"/>
    <w:rsid w:val="00645293"/>
    <w:rsid w:val="00646852"/>
    <w:rsid w:val="00647D86"/>
    <w:rsid w:val="0065035F"/>
    <w:rsid w:val="00652006"/>
    <w:rsid w:val="0065246C"/>
    <w:rsid w:val="0065255E"/>
    <w:rsid w:val="006526D8"/>
    <w:rsid w:val="006527F0"/>
    <w:rsid w:val="00653AF1"/>
    <w:rsid w:val="00653C34"/>
    <w:rsid w:val="0065549B"/>
    <w:rsid w:val="00655D04"/>
    <w:rsid w:val="006562CA"/>
    <w:rsid w:val="00660C80"/>
    <w:rsid w:val="00663004"/>
    <w:rsid w:val="00664113"/>
    <w:rsid w:val="006651FC"/>
    <w:rsid w:val="00665241"/>
    <w:rsid w:val="00665277"/>
    <w:rsid w:val="006655A4"/>
    <w:rsid w:val="006658A8"/>
    <w:rsid w:val="006664DF"/>
    <w:rsid w:val="00670714"/>
    <w:rsid w:val="00670EFD"/>
    <w:rsid w:val="00671C60"/>
    <w:rsid w:val="00671FC1"/>
    <w:rsid w:val="00672DD1"/>
    <w:rsid w:val="00672E7A"/>
    <w:rsid w:val="00673DC6"/>
    <w:rsid w:val="00674C23"/>
    <w:rsid w:val="00674E6D"/>
    <w:rsid w:val="00674EC4"/>
    <w:rsid w:val="00677021"/>
    <w:rsid w:val="00677C85"/>
    <w:rsid w:val="00680AF7"/>
    <w:rsid w:val="00681CD4"/>
    <w:rsid w:val="00682028"/>
    <w:rsid w:val="00685714"/>
    <w:rsid w:val="00685DE2"/>
    <w:rsid w:val="00686749"/>
    <w:rsid w:val="00686948"/>
    <w:rsid w:val="00687186"/>
    <w:rsid w:val="00687931"/>
    <w:rsid w:val="00690F4C"/>
    <w:rsid w:val="0069273F"/>
    <w:rsid w:val="006950B9"/>
    <w:rsid w:val="006957EC"/>
    <w:rsid w:val="00695965"/>
    <w:rsid w:val="006960B5"/>
    <w:rsid w:val="0069660F"/>
    <w:rsid w:val="006969A5"/>
    <w:rsid w:val="006A1B7A"/>
    <w:rsid w:val="006A1B9F"/>
    <w:rsid w:val="006A306E"/>
    <w:rsid w:val="006A3251"/>
    <w:rsid w:val="006A423D"/>
    <w:rsid w:val="006A5CF6"/>
    <w:rsid w:val="006A7B8B"/>
    <w:rsid w:val="006B04CE"/>
    <w:rsid w:val="006B3540"/>
    <w:rsid w:val="006B3C94"/>
    <w:rsid w:val="006B42E4"/>
    <w:rsid w:val="006B4576"/>
    <w:rsid w:val="006B4894"/>
    <w:rsid w:val="006B4955"/>
    <w:rsid w:val="006B4C68"/>
    <w:rsid w:val="006B5988"/>
    <w:rsid w:val="006B6D17"/>
    <w:rsid w:val="006B6F42"/>
    <w:rsid w:val="006B7EAA"/>
    <w:rsid w:val="006C1182"/>
    <w:rsid w:val="006C1C1B"/>
    <w:rsid w:val="006C1E35"/>
    <w:rsid w:val="006C3518"/>
    <w:rsid w:val="006C3D6A"/>
    <w:rsid w:val="006C3FD7"/>
    <w:rsid w:val="006C44E9"/>
    <w:rsid w:val="006C46FE"/>
    <w:rsid w:val="006C4C77"/>
    <w:rsid w:val="006D0B70"/>
    <w:rsid w:val="006D12DF"/>
    <w:rsid w:val="006D34BA"/>
    <w:rsid w:val="006D3FDB"/>
    <w:rsid w:val="006D571A"/>
    <w:rsid w:val="006D658C"/>
    <w:rsid w:val="006D6791"/>
    <w:rsid w:val="006D6906"/>
    <w:rsid w:val="006D7A22"/>
    <w:rsid w:val="006E0C5F"/>
    <w:rsid w:val="006E1389"/>
    <w:rsid w:val="006E18CB"/>
    <w:rsid w:val="006E2047"/>
    <w:rsid w:val="006E282A"/>
    <w:rsid w:val="006E3482"/>
    <w:rsid w:val="006E3BC1"/>
    <w:rsid w:val="006E4DEC"/>
    <w:rsid w:val="006E4E83"/>
    <w:rsid w:val="006E51F1"/>
    <w:rsid w:val="006E59B8"/>
    <w:rsid w:val="006E5F96"/>
    <w:rsid w:val="006E71E0"/>
    <w:rsid w:val="006F0A51"/>
    <w:rsid w:val="006F18EB"/>
    <w:rsid w:val="006F3358"/>
    <w:rsid w:val="006F41B3"/>
    <w:rsid w:val="006F49D7"/>
    <w:rsid w:val="006F71B9"/>
    <w:rsid w:val="006F746C"/>
    <w:rsid w:val="006F7A4C"/>
    <w:rsid w:val="007009A0"/>
    <w:rsid w:val="00702BAF"/>
    <w:rsid w:val="00703551"/>
    <w:rsid w:val="00705007"/>
    <w:rsid w:val="00705037"/>
    <w:rsid w:val="007052ED"/>
    <w:rsid w:val="0070546E"/>
    <w:rsid w:val="007067D7"/>
    <w:rsid w:val="00706C26"/>
    <w:rsid w:val="00706F51"/>
    <w:rsid w:val="00707045"/>
    <w:rsid w:val="00707BDF"/>
    <w:rsid w:val="0071070B"/>
    <w:rsid w:val="007124E0"/>
    <w:rsid w:val="007125A8"/>
    <w:rsid w:val="00712CCF"/>
    <w:rsid w:val="00713D4D"/>
    <w:rsid w:val="007144DD"/>
    <w:rsid w:val="0071587E"/>
    <w:rsid w:val="00715B36"/>
    <w:rsid w:val="007172F1"/>
    <w:rsid w:val="00720EDD"/>
    <w:rsid w:val="00721F00"/>
    <w:rsid w:val="00721F36"/>
    <w:rsid w:val="00722B5D"/>
    <w:rsid w:val="00725C54"/>
    <w:rsid w:val="00725EA1"/>
    <w:rsid w:val="00727740"/>
    <w:rsid w:val="007317D6"/>
    <w:rsid w:val="00731B72"/>
    <w:rsid w:val="00732495"/>
    <w:rsid w:val="0073427D"/>
    <w:rsid w:val="00736F43"/>
    <w:rsid w:val="0073788C"/>
    <w:rsid w:val="0074017C"/>
    <w:rsid w:val="00740AAD"/>
    <w:rsid w:val="00740AD4"/>
    <w:rsid w:val="007412C3"/>
    <w:rsid w:val="0074344B"/>
    <w:rsid w:val="00743949"/>
    <w:rsid w:val="00743A80"/>
    <w:rsid w:val="00745E9A"/>
    <w:rsid w:val="00747FBD"/>
    <w:rsid w:val="00750EA1"/>
    <w:rsid w:val="0075161F"/>
    <w:rsid w:val="00752484"/>
    <w:rsid w:val="00752BAA"/>
    <w:rsid w:val="0075336D"/>
    <w:rsid w:val="00754950"/>
    <w:rsid w:val="007549C7"/>
    <w:rsid w:val="00756E3B"/>
    <w:rsid w:val="0075731A"/>
    <w:rsid w:val="007577DC"/>
    <w:rsid w:val="00760462"/>
    <w:rsid w:val="00760D01"/>
    <w:rsid w:val="007615FF"/>
    <w:rsid w:val="0076214F"/>
    <w:rsid w:val="007639A7"/>
    <w:rsid w:val="007649B9"/>
    <w:rsid w:val="00766599"/>
    <w:rsid w:val="00767BB1"/>
    <w:rsid w:val="00771668"/>
    <w:rsid w:val="00771F6B"/>
    <w:rsid w:val="00772015"/>
    <w:rsid w:val="007728DE"/>
    <w:rsid w:val="007739F5"/>
    <w:rsid w:val="00774330"/>
    <w:rsid w:val="00774F22"/>
    <w:rsid w:val="00780B3C"/>
    <w:rsid w:val="007827C3"/>
    <w:rsid w:val="00782F74"/>
    <w:rsid w:val="007834DB"/>
    <w:rsid w:val="00784F23"/>
    <w:rsid w:val="0078560A"/>
    <w:rsid w:val="00785AFD"/>
    <w:rsid w:val="00785BF8"/>
    <w:rsid w:val="007866CE"/>
    <w:rsid w:val="00787B65"/>
    <w:rsid w:val="00790852"/>
    <w:rsid w:val="00790D23"/>
    <w:rsid w:val="0079226E"/>
    <w:rsid w:val="007938BC"/>
    <w:rsid w:val="00793C28"/>
    <w:rsid w:val="00794935"/>
    <w:rsid w:val="00795DDC"/>
    <w:rsid w:val="007A2F0F"/>
    <w:rsid w:val="007A37C2"/>
    <w:rsid w:val="007A45CE"/>
    <w:rsid w:val="007A55B0"/>
    <w:rsid w:val="007A66C3"/>
    <w:rsid w:val="007A6C54"/>
    <w:rsid w:val="007A6E48"/>
    <w:rsid w:val="007B0AC6"/>
    <w:rsid w:val="007B0DDC"/>
    <w:rsid w:val="007B11DD"/>
    <w:rsid w:val="007B2073"/>
    <w:rsid w:val="007B262D"/>
    <w:rsid w:val="007B35C5"/>
    <w:rsid w:val="007B66B1"/>
    <w:rsid w:val="007C0902"/>
    <w:rsid w:val="007C178C"/>
    <w:rsid w:val="007C6D62"/>
    <w:rsid w:val="007C709C"/>
    <w:rsid w:val="007D00A7"/>
    <w:rsid w:val="007D0F81"/>
    <w:rsid w:val="007D2AFF"/>
    <w:rsid w:val="007D3B8E"/>
    <w:rsid w:val="007D407D"/>
    <w:rsid w:val="007D4512"/>
    <w:rsid w:val="007D468B"/>
    <w:rsid w:val="007D670D"/>
    <w:rsid w:val="007D7813"/>
    <w:rsid w:val="007D7F26"/>
    <w:rsid w:val="007E0D65"/>
    <w:rsid w:val="007E3665"/>
    <w:rsid w:val="007E63D8"/>
    <w:rsid w:val="007E6BD9"/>
    <w:rsid w:val="007E7603"/>
    <w:rsid w:val="007E7D06"/>
    <w:rsid w:val="007E7D1A"/>
    <w:rsid w:val="007F1801"/>
    <w:rsid w:val="007F2E0A"/>
    <w:rsid w:val="007F4E09"/>
    <w:rsid w:val="007F76A9"/>
    <w:rsid w:val="008005C6"/>
    <w:rsid w:val="008006C4"/>
    <w:rsid w:val="008010D7"/>
    <w:rsid w:val="008013D4"/>
    <w:rsid w:val="0080196A"/>
    <w:rsid w:val="008021E7"/>
    <w:rsid w:val="00802F6D"/>
    <w:rsid w:val="008030EC"/>
    <w:rsid w:val="008032DD"/>
    <w:rsid w:val="00804022"/>
    <w:rsid w:val="0080435B"/>
    <w:rsid w:val="00804FD8"/>
    <w:rsid w:val="00806546"/>
    <w:rsid w:val="00812DDE"/>
    <w:rsid w:val="00813088"/>
    <w:rsid w:val="00813FDE"/>
    <w:rsid w:val="008147E7"/>
    <w:rsid w:val="00814A8E"/>
    <w:rsid w:val="00817315"/>
    <w:rsid w:val="00820D95"/>
    <w:rsid w:val="0082146C"/>
    <w:rsid w:val="008217FB"/>
    <w:rsid w:val="00822440"/>
    <w:rsid w:val="008225C9"/>
    <w:rsid w:val="00822631"/>
    <w:rsid w:val="00823554"/>
    <w:rsid w:val="008245D2"/>
    <w:rsid w:val="00824CBF"/>
    <w:rsid w:val="00826653"/>
    <w:rsid w:val="00827DE9"/>
    <w:rsid w:val="00831B81"/>
    <w:rsid w:val="00833A9C"/>
    <w:rsid w:val="00834585"/>
    <w:rsid w:val="00834E11"/>
    <w:rsid w:val="00835D5C"/>
    <w:rsid w:val="0083606E"/>
    <w:rsid w:val="0083616F"/>
    <w:rsid w:val="00837C24"/>
    <w:rsid w:val="00840187"/>
    <w:rsid w:val="00840F19"/>
    <w:rsid w:val="00841A8D"/>
    <w:rsid w:val="008425D0"/>
    <w:rsid w:val="00842C15"/>
    <w:rsid w:val="0084334C"/>
    <w:rsid w:val="008434B5"/>
    <w:rsid w:val="00843642"/>
    <w:rsid w:val="00844A61"/>
    <w:rsid w:val="00845C9A"/>
    <w:rsid w:val="00846677"/>
    <w:rsid w:val="00847F6C"/>
    <w:rsid w:val="0085081F"/>
    <w:rsid w:val="00851368"/>
    <w:rsid w:val="008522F8"/>
    <w:rsid w:val="00852869"/>
    <w:rsid w:val="00853DEB"/>
    <w:rsid w:val="00854867"/>
    <w:rsid w:val="00856DB6"/>
    <w:rsid w:val="008573DE"/>
    <w:rsid w:val="00857F81"/>
    <w:rsid w:val="0086024D"/>
    <w:rsid w:val="00860487"/>
    <w:rsid w:val="00861134"/>
    <w:rsid w:val="008613B8"/>
    <w:rsid w:val="00862CAD"/>
    <w:rsid w:val="00864921"/>
    <w:rsid w:val="008676F3"/>
    <w:rsid w:val="00867793"/>
    <w:rsid w:val="00870BB8"/>
    <w:rsid w:val="00870FD1"/>
    <w:rsid w:val="00872276"/>
    <w:rsid w:val="00872439"/>
    <w:rsid w:val="0087683D"/>
    <w:rsid w:val="0087713F"/>
    <w:rsid w:val="0088030F"/>
    <w:rsid w:val="00881271"/>
    <w:rsid w:val="00881356"/>
    <w:rsid w:val="00885519"/>
    <w:rsid w:val="00885C1B"/>
    <w:rsid w:val="00886C09"/>
    <w:rsid w:val="008871BE"/>
    <w:rsid w:val="008875E7"/>
    <w:rsid w:val="00887F56"/>
    <w:rsid w:val="008909A1"/>
    <w:rsid w:val="00891225"/>
    <w:rsid w:val="00892B7E"/>
    <w:rsid w:val="00892CE3"/>
    <w:rsid w:val="00894D69"/>
    <w:rsid w:val="00895AF0"/>
    <w:rsid w:val="00896A1C"/>
    <w:rsid w:val="00896D79"/>
    <w:rsid w:val="00897A93"/>
    <w:rsid w:val="00897D59"/>
    <w:rsid w:val="008A005F"/>
    <w:rsid w:val="008A1EFE"/>
    <w:rsid w:val="008A2D1D"/>
    <w:rsid w:val="008A3BE5"/>
    <w:rsid w:val="008A401F"/>
    <w:rsid w:val="008A6191"/>
    <w:rsid w:val="008A6E06"/>
    <w:rsid w:val="008B17EF"/>
    <w:rsid w:val="008B298E"/>
    <w:rsid w:val="008B2CA2"/>
    <w:rsid w:val="008B2D5E"/>
    <w:rsid w:val="008B33D4"/>
    <w:rsid w:val="008B37DF"/>
    <w:rsid w:val="008B3C35"/>
    <w:rsid w:val="008B41E4"/>
    <w:rsid w:val="008B535E"/>
    <w:rsid w:val="008B564C"/>
    <w:rsid w:val="008C1647"/>
    <w:rsid w:val="008C1CF8"/>
    <w:rsid w:val="008C2A67"/>
    <w:rsid w:val="008C3587"/>
    <w:rsid w:val="008C4F77"/>
    <w:rsid w:val="008C5B65"/>
    <w:rsid w:val="008C6F52"/>
    <w:rsid w:val="008D0926"/>
    <w:rsid w:val="008D150A"/>
    <w:rsid w:val="008D159F"/>
    <w:rsid w:val="008D1C32"/>
    <w:rsid w:val="008D2E6B"/>
    <w:rsid w:val="008D32C6"/>
    <w:rsid w:val="008D3839"/>
    <w:rsid w:val="008D4015"/>
    <w:rsid w:val="008D4DCD"/>
    <w:rsid w:val="008D4E10"/>
    <w:rsid w:val="008D5677"/>
    <w:rsid w:val="008D6489"/>
    <w:rsid w:val="008E0238"/>
    <w:rsid w:val="008E1598"/>
    <w:rsid w:val="008E1F24"/>
    <w:rsid w:val="008E2D07"/>
    <w:rsid w:val="008E3D57"/>
    <w:rsid w:val="008E3EFD"/>
    <w:rsid w:val="008E3FF2"/>
    <w:rsid w:val="008E4093"/>
    <w:rsid w:val="008E4468"/>
    <w:rsid w:val="008E45A3"/>
    <w:rsid w:val="008E4DEC"/>
    <w:rsid w:val="008E4F2B"/>
    <w:rsid w:val="008E5323"/>
    <w:rsid w:val="008E5450"/>
    <w:rsid w:val="008E55AE"/>
    <w:rsid w:val="008E632F"/>
    <w:rsid w:val="008E6929"/>
    <w:rsid w:val="008E708C"/>
    <w:rsid w:val="008E7A4E"/>
    <w:rsid w:val="008E7DE7"/>
    <w:rsid w:val="008F0607"/>
    <w:rsid w:val="008F1EF5"/>
    <w:rsid w:val="008F27CE"/>
    <w:rsid w:val="008F3130"/>
    <w:rsid w:val="008F38C7"/>
    <w:rsid w:val="008F3C4D"/>
    <w:rsid w:val="009002D5"/>
    <w:rsid w:val="00900C1A"/>
    <w:rsid w:val="0090124F"/>
    <w:rsid w:val="00901B2F"/>
    <w:rsid w:val="00901FA8"/>
    <w:rsid w:val="00902533"/>
    <w:rsid w:val="00903CF4"/>
    <w:rsid w:val="009052FB"/>
    <w:rsid w:val="009070F0"/>
    <w:rsid w:val="00907D17"/>
    <w:rsid w:val="009123AD"/>
    <w:rsid w:val="00912DF4"/>
    <w:rsid w:val="009157C8"/>
    <w:rsid w:val="009163D0"/>
    <w:rsid w:val="009170E8"/>
    <w:rsid w:val="009170F7"/>
    <w:rsid w:val="00921962"/>
    <w:rsid w:val="00922425"/>
    <w:rsid w:val="00922CDF"/>
    <w:rsid w:val="0092602F"/>
    <w:rsid w:val="00926242"/>
    <w:rsid w:val="009273EC"/>
    <w:rsid w:val="0093116E"/>
    <w:rsid w:val="00932135"/>
    <w:rsid w:val="009322F9"/>
    <w:rsid w:val="0093267F"/>
    <w:rsid w:val="00933A30"/>
    <w:rsid w:val="00935744"/>
    <w:rsid w:val="00936843"/>
    <w:rsid w:val="00940053"/>
    <w:rsid w:val="00940C44"/>
    <w:rsid w:val="0094223C"/>
    <w:rsid w:val="00942D42"/>
    <w:rsid w:val="00942F2E"/>
    <w:rsid w:val="00943F2C"/>
    <w:rsid w:val="00945A9B"/>
    <w:rsid w:val="00945CD4"/>
    <w:rsid w:val="00947388"/>
    <w:rsid w:val="00950480"/>
    <w:rsid w:val="009509E9"/>
    <w:rsid w:val="00950C03"/>
    <w:rsid w:val="00951CAF"/>
    <w:rsid w:val="0095219F"/>
    <w:rsid w:val="009525E5"/>
    <w:rsid w:val="00952A72"/>
    <w:rsid w:val="009553F3"/>
    <w:rsid w:val="0095595D"/>
    <w:rsid w:val="00955FBB"/>
    <w:rsid w:val="00956692"/>
    <w:rsid w:val="00957C30"/>
    <w:rsid w:val="00957DF4"/>
    <w:rsid w:val="00960AFC"/>
    <w:rsid w:val="00960E2D"/>
    <w:rsid w:val="00962351"/>
    <w:rsid w:val="00963997"/>
    <w:rsid w:val="00964535"/>
    <w:rsid w:val="00964B86"/>
    <w:rsid w:val="009673B5"/>
    <w:rsid w:val="009704E5"/>
    <w:rsid w:val="009707C5"/>
    <w:rsid w:val="00970FEC"/>
    <w:rsid w:val="00971891"/>
    <w:rsid w:val="009725F1"/>
    <w:rsid w:val="009735CA"/>
    <w:rsid w:val="009735E4"/>
    <w:rsid w:val="009735E6"/>
    <w:rsid w:val="00973B58"/>
    <w:rsid w:val="00973DB7"/>
    <w:rsid w:val="009744BE"/>
    <w:rsid w:val="009745FE"/>
    <w:rsid w:val="00975B3E"/>
    <w:rsid w:val="00975EE0"/>
    <w:rsid w:val="009770D8"/>
    <w:rsid w:val="00977DC0"/>
    <w:rsid w:val="00981140"/>
    <w:rsid w:val="009813A9"/>
    <w:rsid w:val="009815CD"/>
    <w:rsid w:val="00981EAD"/>
    <w:rsid w:val="00981EBA"/>
    <w:rsid w:val="0098301A"/>
    <w:rsid w:val="00983A13"/>
    <w:rsid w:val="00984BE7"/>
    <w:rsid w:val="00985795"/>
    <w:rsid w:val="0098781B"/>
    <w:rsid w:val="009912A4"/>
    <w:rsid w:val="009930CE"/>
    <w:rsid w:val="00994EB9"/>
    <w:rsid w:val="00995920"/>
    <w:rsid w:val="00995CF5"/>
    <w:rsid w:val="00996314"/>
    <w:rsid w:val="00996B5E"/>
    <w:rsid w:val="00997DAF"/>
    <w:rsid w:val="009A2FD9"/>
    <w:rsid w:val="009A34F3"/>
    <w:rsid w:val="009A38B6"/>
    <w:rsid w:val="009A4524"/>
    <w:rsid w:val="009A5F4E"/>
    <w:rsid w:val="009B05BE"/>
    <w:rsid w:val="009B16EE"/>
    <w:rsid w:val="009B202B"/>
    <w:rsid w:val="009B3C01"/>
    <w:rsid w:val="009B42BB"/>
    <w:rsid w:val="009B438C"/>
    <w:rsid w:val="009B5E8F"/>
    <w:rsid w:val="009B6C74"/>
    <w:rsid w:val="009B73F1"/>
    <w:rsid w:val="009B7482"/>
    <w:rsid w:val="009B7B5D"/>
    <w:rsid w:val="009C1D1B"/>
    <w:rsid w:val="009C3135"/>
    <w:rsid w:val="009C48CA"/>
    <w:rsid w:val="009C59A7"/>
    <w:rsid w:val="009C59BC"/>
    <w:rsid w:val="009C6626"/>
    <w:rsid w:val="009C72D3"/>
    <w:rsid w:val="009C75E1"/>
    <w:rsid w:val="009D05DF"/>
    <w:rsid w:val="009D08DB"/>
    <w:rsid w:val="009D1AE9"/>
    <w:rsid w:val="009D2023"/>
    <w:rsid w:val="009D2206"/>
    <w:rsid w:val="009D325B"/>
    <w:rsid w:val="009D36DA"/>
    <w:rsid w:val="009D594F"/>
    <w:rsid w:val="009D624F"/>
    <w:rsid w:val="009D694A"/>
    <w:rsid w:val="009D73BD"/>
    <w:rsid w:val="009E05E2"/>
    <w:rsid w:val="009E100E"/>
    <w:rsid w:val="009E12B7"/>
    <w:rsid w:val="009E1997"/>
    <w:rsid w:val="009E279B"/>
    <w:rsid w:val="009E3EEC"/>
    <w:rsid w:val="009E4092"/>
    <w:rsid w:val="009E443D"/>
    <w:rsid w:val="009E4B74"/>
    <w:rsid w:val="009E65DD"/>
    <w:rsid w:val="009E7B68"/>
    <w:rsid w:val="009F0735"/>
    <w:rsid w:val="009F2DBE"/>
    <w:rsid w:val="009F3CD6"/>
    <w:rsid w:val="009F3D4A"/>
    <w:rsid w:val="009F5514"/>
    <w:rsid w:val="009F6191"/>
    <w:rsid w:val="009F665C"/>
    <w:rsid w:val="009F6ABD"/>
    <w:rsid w:val="009F74DC"/>
    <w:rsid w:val="00A00D72"/>
    <w:rsid w:val="00A015E5"/>
    <w:rsid w:val="00A02632"/>
    <w:rsid w:val="00A12318"/>
    <w:rsid w:val="00A131FB"/>
    <w:rsid w:val="00A13688"/>
    <w:rsid w:val="00A15540"/>
    <w:rsid w:val="00A2102A"/>
    <w:rsid w:val="00A21160"/>
    <w:rsid w:val="00A2183E"/>
    <w:rsid w:val="00A22DA9"/>
    <w:rsid w:val="00A234C4"/>
    <w:rsid w:val="00A23C5B"/>
    <w:rsid w:val="00A253DC"/>
    <w:rsid w:val="00A25748"/>
    <w:rsid w:val="00A25BCB"/>
    <w:rsid w:val="00A265CE"/>
    <w:rsid w:val="00A30A91"/>
    <w:rsid w:val="00A31230"/>
    <w:rsid w:val="00A31500"/>
    <w:rsid w:val="00A31798"/>
    <w:rsid w:val="00A31D5B"/>
    <w:rsid w:val="00A323FE"/>
    <w:rsid w:val="00A3295F"/>
    <w:rsid w:val="00A32C5B"/>
    <w:rsid w:val="00A33D1E"/>
    <w:rsid w:val="00A34D46"/>
    <w:rsid w:val="00A360F8"/>
    <w:rsid w:val="00A37571"/>
    <w:rsid w:val="00A37FCA"/>
    <w:rsid w:val="00A40368"/>
    <w:rsid w:val="00A40B7C"/>
    <w:rsid w:val="00A41DA4"/>
    <w:rsid w:val="00A42A24"/>
    <w:rsid w:val="00A42C4C"/>
    <w:rsid w:val="00A43EB7"/>
    <w:rsid w:val="00A44FDC"/>
    <w:rsid w:val="00A45773"/>
    <w:rsid w:val="00A45FEF"/>
    <w:rsid w:val="00A464AC"/>
    <w:rsid w:val="00A5008B"/>
    <w:rsid w:val="00A5029B"/>
    <w:rsid w:val="00A50C9B"/>
    <w:rsid w:val="00A50F5E"/>
    <w:rsid w:val="00A5173B"/>
    <w:rsid w:val="00A5317E"/>
    <w:rsid w:val="00A552B1"/>
    <w:rsid w:val="00A56195"/>
    <w:rsid w:val="00A56364"/>
    <w:rsid w:val="00A571D0"/>
    <w:rsid w:val="00A60422"/>
    <w:rsid w:val="00A61F6A"/>
    <w:rsid w:val="00A63158"/>
    <w:rsid w:val="00A65BCE"/>
    <w:rsid w:val="00A678B8"/>
    <w:rsid w:val="00A7382F"/>
    <w:rsid w:val="00A75182"/>
    <w:rsid w:val="00A75277"/>
    <w:rsid w:val="00A752FE"/>
    <w:rsid w:val="00A75F1A"/>
    <w:rsid w:val="00A80DAA"/>
    <w:rsid w:val="00A82D42"/>
    <w:rsid w:val="00A82FE0"/>
    <w:rsid w:val="00A8431B"/>
    <w:rsid w:val="00A8482E"/>
    <w:rsid w:val="00A849CB"/>
    <w:rsid w:val="00A84A8A"/>
    <w:rsid w:val="00A84F27"/>
    <w:rsid w:val="00A87154"/>
    <w:rsid w:val="00A915C9"/>
    <w:rsid w:val="00A91ABA"/>
    <w:rsid w:val="00A91B91"/>
    <w:rsid w:val="00A91D6B"/>
    <w:rsid w:val="00A92A51"/>
    <w:rsid w:val="00A948F1"/>
    <w:rsid w:val="00A9535D"/>
    <w:rsid w:val="00A953CE"/>
    <w:rsid w:val="00A964B8"/>
    <w:rsid w:val="00A97A29"/>
    <w:rsid w:val="00A97E35"/>
    <w:rsid w:val="00A97EE2"/>
    <w:rsid w:val="00AA0359"/>
    <w:rsid w:val="00AA0A98"/>
    <w:rsid w:val="00AA0B68"/>
    <w:rsid w:val="00AA2025"/>
    <w:rsid w:val="00AA2359"/>
    <w:rsid w:val="00AA5AE7"/>
    <w:rsid w:val="00AA7092"/>
    <w:rsid w:val="00AA78DC"/>
    <w:rsid w:val="00AB0165"/>
    <w:rsid w:val="00AB1270"/>
    <w:rsid w:val="00AB3391"/>
    <w:rsid w:val="00AB486B"/>
    <w:rsid w:val="00AB664E"/>
    <w:rsid w:val="00AB69A9"/>
    <w:rsid w:val="00AB7948"/>
    <w:rsid w:val="00AB7D32"/>
    <w:rsid w:val="00AB7E17"/>
    <w:rsid w:val="00AC039F"/>
    <w:rsid w:val="00AC0F87"/>
    <w:rsid w:val="00AC2369"/>
    <w:rsid w:val="00AC6140"/>
    <w:rsid w:val="00AC679B"/>
    <w:rsid w:val="00AC6902"/>
    <w:rsid w:val="00AD196F"/>
    <w:rsid w:val="00AD4328"/>
    <w:rsid w:val="00AD6239"/>
    <w:rsid w:val="00AD6388"/>
    <w:rsid w:val="00AD7E03"/>
    <w:rsid w:val="00AE178D"/>
    <w:rsid w:val="00AE3256"/>
    <w:rsid w:val="00AE3650"/>
    <w:rsid w:val="00AE4035"/>
    <w:rsid w:val="00AE4853"/>
    <w:rsid w:val="00AE4C2D"/>
    <w:rsid w:val="00AE6801"/>
    <w:rsid w:val="00AE7A55"/>
    <w:rsid w:val="00AF087F"/>
    <w:rsid w:val="00AF0EAF"/>
    <w:rsid w:val="00AF1352"/>
    <w:rsid w:val="00AF1CEF"/>
    <w:rsid w:val="00AF3A76"/>
    <w:rsid w:val="00AF406C"/>
    <w:rsid w:val="00AF4FF7"/>
    <w:rsid w:val="00AF544D"/>
    <w:rsid w:val="00AF5C86"/>
    <w:rsid w:val="00AF738F"/>
    <w:rsid w:val="00B00136"/>
    <w:rsid w:val="00B007CA"/>
    <w:rsid w:val="00B0187F"/>
    <w:rsid w:val="00B041F4"/>
    <w:rsid w:val="00B04BD3"/>
    <w:rsid w:val="00B050BD"/>
    <w:rsid w:val="00B0537D"/>
    <w:rsid w:val="00B05CFD"/>
    <w:rsid w:val="00B070CE"/>
    <w:rsid w:val="00B10BA9"/>
    <w:rsid w:val="00B1267E"/>
    <w:rsid w:val="00B128B5"/>
    <w:rsid w:val="00B1307E"/>
    <w:rsid w:val="00B13B33"/>
    <w:rsid w:val="00B14EA7"/>
    <w:rsid w:val="00B16275"/>
    <w:rsid w:val="00B176F9"/>
    <w:rsid w:val="00B2028B"/>
    <w:rsid w:val="00B207B1"/>
    <w:rsid w:val="00B20B66"/>
    <w:rsid w:val="00B21369"/>
    <w:rsid w:val="00B23297"/>
    <w:rsid w:val="00B24FBE"/>
    <w:rsid w:val="00B25B82"/>
    <w:rsid w:val="00B26683"/>
    <w:rsid w:val="00B26C3A"/>
    <w:rsid w:val="00B26F08"/>
    <w:rsid w:val="00B31251"/>
    <w:rsid w:val="00B31380"/>
    <w:rsid w:val="00B327EA"/>
    <w:rsid w:val="00B33732"/>
    <w:rsid w:val="00B33834"/>
    <w:rsid w:val="00B34541"/>
    <w:rsid w:val="00B360F3"/>
    <w:rsid w:val="00B362BB"/>
    <w:rsid w:val="00B366A0"/>
    <w:rsid w:val="00B42F80"/>
    <w:rsid w:val="00B42FD8"/>
    <w:rsid w:val="00B458D2"/>
    <w:rsid w:val="00B46FD4"/>
    <w:rsid w:val="00B50652"/>
    <w:rsid w:val="00B50A74"/>
    <w:rsid w:val="00B510C6"/>
    <w:rsid w:val="00B52789"/>
    <w:rsid w:val="00B53B5C"/>
    <w:rsid w:val="00B55630"/>
    <w:rsid w:val="00B562D9"/>
    <w:rsid w:val="00B57E44"/>
    <w:rsid w:val="00B57FD3"/>
    <w:rsid w:val="00B619B2"/>
    <w:rsid w:val="00B62912"/>
    <w:rsid w:val="00B63C06"/>
    <w:rsid w:val="00B65C59"/>
    <w:rsid w:val="00B67707"/>
    <w:rsid w:val="00B67A1B"/>
    <w:rsid w:val="00B7196B"/>
    <w:rsid w:val="00B72880"/>
    <w:rsid w:val="00B73125"/>
    <w:rsid w:val="00B7361D"/>
    <w:rsid w:val="00B73A57"/>
    <w:rsid w:val="00B74C58"/>
    <w:rsid w:val="00B74D1B"/>
    <w:rsid w:val="00B75E59"/>
    <w:rsid w:val="00B76B8A"/>
    <w:rsid w:val="00B772DB"/>
    <w:rsid w:val="00B77597"/>
    <w:rsid w:val="00B775A7"/>
    <w:rsid w:val="00B7764D"/>
    <w:rsid w:val="00B80D86"/>
    <w:rsid w:val="00B8119C"/>
    <w:rsid w:val="00B81535"/>
    <w:rsid w:val="00B821C6"/>
    <w:rsid w:val="00B8272E"/>
    <w:rsid w:val="00B835EA"/>
    <w:rsid w:val="00B8370F"/>
    <w:rsid w:val="00B839C8"/>
    <w:rsid w:val="00B84730"/>
    <w:rsid w:val="00B85C17"/>
    <w:rsid w:val="00B85C25"/>
    <w:rsid w:val="00B86009"/>
    <w:rsid w:val="00B87DD9"/>
    <w:rsid w:val="00B90B19"/>
    <w:rsid w:val="00B90DAF"/>
    <w:rsid w:val="00B92503"/>
    <w:rsid w:val="00B92720"/>
    <w:rsid w:val="00B945D5"/>
    <w:rsid w:val="00BA0926"/>
    <w:rsid w:val="00BA19EA"/>
    <w:rsid w:val="00BA36B5"/>
    <w:rsid w:val="00BA38CD"/>
    <w:rsid w:val="00BA5B9E"/>
    <w:rsid w:val="00BA679D"/>
    <w:rsid w:val="00BA7EA2"/>
    <w:rsid w:val="00BB06A6"/>
    <w:rsid w:val="00BB0B30"/>
    <w:rsid w:val="00BB0EE5"/>
    <w:rsid w:val="00BB1A88"/>
    <w:rsid w:val="00BB1B23"/>
    <w:rsid w:val="00BB30AB"/>
    <w:rsid w:val="00BB39B4"/>
    <w:rsid w:val="00BB62A9"/>
    <w:rsid w:val="00BB7CA0"/>
    <w:rsid w:val="00BC059D"/>
    <w:rsid w:val="00BC0ABA"/>
    <w:rsid w:val="00BC14C9"/>
    <w:rsid w:val="00BC3258"/>
    <w:rsid w:val="00BC5C1B"/>
    <w:rsid w:val="00BC5D8D"/>
    <w:rsid w:val="00BC61AE"/>
    <w:rsid w:val="00BC6403"/>
    <w:rsid w:val="00BD030B"/>
    <w:rsid w:val="00BD05C4"/>
    <w:rsid w:val="00BD0999"/>
    <w:rsid w:val="00BD0F4E"/>
    <w:rsid w:val="00BD21E4"/>
    <w:rsid w:val="00BD2469"/>
    <w:rsid w:val="00BD3554"/>
    <w:rsid w:val="00BD373A"/>
    <w:rsid w:val="00BD3C18"/>
    <w:rsid w:val="00BD6066"/>
    <w:rsid w:val="00BE0A41"/>
    <w:rsid w:val="00BE0D9D"/>
    <w:rsid w:val="00BE42B5"/>
    <w:rsid w:val="00BE4709"/>
    <w:rsid w:val="00BE489B"/>
    <w:rsid w:val="00BE5CDB"/>
    <w:rsid w:val="00BE7D67"/>
    <w:rsid w:val="00BE7F33"/>
    <w:rsid w:val="00BF094A"/>
    <w:rsid w:val="00BF1407"/>
    <w:rsid w:val="00BF2649"/>
    <w:rsid w:val="00BF5253"/>
    <w:rsid w:val="00BF7A75"/>
    <w:rsid w:val="00C027C2"/>
    <w:rsid w:val="00C029B2"/>
    <w:rsid w:val="00C04F43"/>
    <w:rsid w:val="00C05B04"/>
    <w:rsid w:val="00C05F4B"/>
    <w:rsid w:val="00C0607D"/>
    <w:rsid w:val="00C074DF"/>
    <w:rsid w:val="00C07C94"/>
    <w:rsid w:val="00C10594"/>
    <w:rsid w:val="00C11FA2"/>
    <w:rsid w:val="00C14094"/>
    <w:rsid w:val="00C15B8D"/>
    <w:rsid w:val="00C16B14"/>
    <w:rsid w:val="00C16C07"/>
    <w:rsid w:val="00C16C3A"/>
    <w:rsid w:val="00C16DF1"/>
    <w:rsid w:val="00C17326"/>
    <w:rsid w:val="00C20FD8"/>
    <w:rsid w:val="00C22119"/>
    <w:rsid w:val="00C22435"/>
    <w:rsid w:val="00C23065"/>
    <w:rsid w:val="00C24966"/>
    <w:rsid w:val="00C24A27"/>
    <w:rsid w:val="00C24AF0"/>
    <w:rsid w:val="00C2620D"/>
    <w:rsid w:val="00C26A48"/>
    <w:rsid w:val="00C270F6"/>
    <w:rsid w:val="00C27C04"/>
    <w:rsid w:val="00C309B8"/>
    <w:rsid w:val="00C30CAB"/>
    <w:rsid w:val="00C340E1"/>
    <w:rsid w:val="00C35260"/>
    <w:rsid w:val="00C3609A"/>
    <w:rsid w:val="00C36332"/>
    <w:rsid w:val="00C4087F"/>
    <w:rsid w:val="00C42AC6"/>
    <w:rsid w:val="00C44EC5"/>
    <w:rsid w:val="00C45EE9"/>
    <w:rsid w:val="00C47883"/>
    <w:rsid w:val="00C50A48"/>
    <w:rsid w:val="00C50C17"/>
    <w:rsid w:val="00C529E9"/>
    <w:rsid w:val="00C55F5B"/>
    <w:rsid w:val="00C61D7F"/>
    <w:rsid w:val="00C62B2C"/>
    <w:rsid w:val="00C63154"/>
    <w:rsid w:val="00C66D91"/>
    <w:rsid w:val="00C70484"/>
    <w:rsid w:val="00C72F92"/>
    <w:rsid w:val="00C743AC"/>
    <w:rsid w:val="00C74CF8"/>
    <w:rsid w:val="00C75BD7"/>
    <w:rsid w:val="00C7734F"/>
    <w:rsid w:val="00C7784A"/>
    <w:rsid w:val="00C80DA2"/>
    <w:rsid w:val="00C82706"/>
    <w:rsid w:val="00C82779"/>
    <w:rsid w:val="00C82A59"/>
    <w:rsid w:val="00C84222"/>
    <w:rsid w:val="00C87016"/>
    <w:rsid w:val="00C8752A"/>
    <w:rsid w:val="00C87F33"/>
    <w:rsid w:val="00C90FCF"/>
    <w:rsid w:val="00C9253C"/>
    <w:rsid w:val="00C92772"/>
    <w:rsid w:val="00C92F15"/>
    <w:rsid w:val="00C93119"/>
    <w:rsid w:val="00C931A8"/>
    <w:rsid w:val="00C934A6"/>
    <w:rsid w:val="00C941E0"/>
    <w:rsid w:val="00C94F47"/>
    <w:rsid w:val="00C95248"/>
    <w:rsid w:val="00C95CB5"/>
    <w:rsid w:val="00C95D64"/>
    <w:rsid w:val="00C95E4E"/>
    <w:rsid w:val="00C95E5D"/>
    <w:rsid w:val="00C95EDC"/>
    <w:rsid w:val="00C96108"/>
    <w:rsid w:val="00C96374"/>
    <w:rsid w:val="00C96B73"/>
    <w:rsid w:val="00C9717D"/>
    <w:rsid w:val="00C97429"/>
    <w:rsid w:val="00CA0A36"/>
    <w:rsid w:val="00CA13B1"/>
    <w:rsid w:val="00CA22E2"/>
    <w:rsid w:val="00CA2411"/>
    <w:rsid w:val="00CA2D93"/>
    <w:rsid w:val="00CA2F72"/>
    <w:rsid w:val="00CA36EA"/>
    <w:rsid w:val="00CA4234"/>
    <w:rsid w:val="00CA5E80"/>
    <w:rsid w:val="00CA6A76"/>
    <w:rsid w:val="00CA7260"/>
    <w:rsid w:val="00CB09C8"/>
    <w:rsid w:val="00CB0D81"/>
    <w:rsid w:val="00CB203F"/>
    <w:rsid w:val="00CB2416"/>
    <w:rsid w:val="00CB2C07"/>
    <w:rsid w:val="00CB2F38"/>
    <w:rsid w:val="00CB360F"/>
    <w:rsid w:val="00CB399B"/>
    <w:rsid w:val="00CB3E4D"/>
    <w:rsid w:val="00CB3EE4"/>
    <w:rsid w:val="00CB449D"/>
    <w:rsid w:val="00CB476B"/>
    <w:rsid w:val="00CC03EF"/>
    <w:rsid w:val="00CC283E"/>
    <w:rsid w:val="00CC2C7A"/>
    <w:rsid w:val="00CC2DD1"/>
    <w:rsid w:val="00CC2DE6"/>
    <w:rsid w:val="00CC41B5"/>
    <w:rsid w:val="00CC45E0"/>
    <w:rsid w:val="00CC4B90"/>
    <w:rsid w:val="00CC54A9"/>
    <w:rsid w:val="00CC59CB"/>
    <w:rsid w:val="00CC5B08"/>
    <w:rsid w:val="00CC67F6"/>
    <w:rsid w:val="00CC7632"/>
    <w:rsid w:val="00CC77CB"/>
    <w:rsid w:val="00CD06C1"/>
    <w:rsid w:val="00CD1DF0"/>
    <w:rsid w:val="00CD24C7"/>
    <w:rsid w:val="00CD2EBD"/>
    <w:rsid w:val="00CD4B5B"/>
    <w:rsid w:val="00CD4F9B"/>
    <w:rsid w:val="00CD5149"/>
    <w:rsid w:val="00CD5CB6"/>
    <w:rsid w:val="00CD5DBB"/>
    <w:rsid w:val="00CD63BE"/>
    <w:rsid w:val="00CD652A"/>
    <w:rsid w:val="00CD68B7"/>
    <w:rsid w:val="00CD7B3C"/>
    <w:rsid w:val="00CD7D62"/>
    <w:rsid w:val="00CD7D80"/>
    <w:rsid w:val="00CE0E1C"/>
    <w:rsid w:val="00CE27BB"/>
    <w:rsid w:val="00CE3CBB"/>
    <w:rsid w:val="00CE5873"/>
    <w:rsid w:val="00CE65E5"/>
    <w:rsid w:val="00CE676C"/>
    <w:rsid w:val="00CF13F0"/>
    <w:rsid w:val="00CF2C86"/>
    <w:rsid w:val="00CF3966"/>
    <w:rsid w:val="00CF57D1"/>
    <w:rsid w:val="00CF6310"/>
    <w:rsid w:val="00CF6C2D"/>
    <w:rsid w:val="00CF7B06"/>
    <w:rsid w:val="00D0135E"/>
    <w:rsid w:val="00D02360"/>
    <w:rsid w:val="00D0446D"/>
    <w:rsid w:val="00D07407"/>
    <w:rsid w:val="00D07D6B"/>
    <w:rsid w:val="00D111F9"/>
    <w:rsid w:val="00D125AA"/>
    <w:rsid w:val="00D12733"/>
    <w:rsid w:val="00D14746"/>
    <w:rsid w:val="00D151B2"/>
    <w:rsid w:val="00D1580B"/>
    <w:rsid w:val="00D16FE2"/>
    <w:rsid w:val="00D17005"/>
    <w:rsid w:val="00D1752B"/>
    <w:rsid w:val="00D22E25"/>
    <w:rsid w:val="00D23658"/>
    <w:rsid w:val="00D26858"/>
    <w:rsid w:val="00D27B68"/>
    <w:rsid w:val="00D31FC1"/>
    <w:rsid w:val="00D3279E"/>
    <w:rsid w:val="00D32B71"/>
    <w:rsid w:val="00D337A8"/>
    <w:rsid w:val="00D33AC9"/>
    <w:rsid w:val="00D33DA6"/>
    <w:rsid w:val="00D346A0"/>
    <w:rsid w:val="00D3672A"/>
    <w:rsid w:val="00D448F8"/>
    <w:rsid w:val="00D44FC6"/>
    <w:rsid w:val="00D4525B"/>
    <w:rsid w:val="00D45974"/>
    <w:rsid w:val="00D46D9A"/>
    <w:rsid w:val="00D47A86"/>
    <w:rsid w:val="00D507A3"/>
    <w:rsid w:val="00D50962"/>
    <w:rsid w:val="00D50E02"/>
    <w:rsid w:val="00D51A79"/>
    <w:rsid w:val="00D522D0"/>
    <w:rsid w:val="00D5234C"/>
    <w:rsid w:val="00D53DD9"/>
    <w:rsid w:val="00D53FF9"/>
    <w:rsid w:val="00D54102"/>
    <w:rsid w:val="00D54886"/>
    <w:rsid w:val="00D55A86"/>
    <w:rsid w:val="00D55F16"/>
    <w:rsid w:val="00D56558"/>
    <w:rsid w:val="00D618DE"/>
    <w:rsid w:val="00D621DB"/>
    <w:rsid w:val="00D636DA"/>
    <w:rsid w:val="00D63869"/>
    <w:rsid w:val="00D639C6"/>
    <w:rsid w:val="00D63B64"/>
    <w:rsid w:val="00D63F5C"/>
    <w:rsid w:val="00D642E1"/>
    <w:rsid w:val="00D65AB3"/>
    <w:rsid w:val="00D65B4D"/>
    <w:rsid w:val="00D65EE9"/>
    <w:rsid w:val="00D65FAE"/>
    <w:rsid w:val="00D66059"/>
    <w:rsid w:val="00D70818"/>
    <w:rsid w:val="00D71190"/>
    <w:rsid w:val="00D7136A"/>
    <w:rsid w:val="00D71E5C"/>
    <w:rsid w:val="00D721AE"/>
    <w:rsid w:val="00D726FA"/>
    <w:rsid w:val="00D72BDE"/>
    <w:rsid w:val="00D733A5"/>
    <w:rsid w:val="00D736D5"/>
    <w:rsid w:val="00D74192"/>
    <w:rsid w:val="00D75386"/>
    <w:rsid w:val="00D75577"/>
    <w:rsid w:val="00D80814"/>
    <w:rsid w:val="00D80BCD"/>
    <w:rsid w:val="00D81723"/>
    <w:rsid w:val="00D83265"/>
    <w:rsid w:val="00D844B2"/>
    <w:rsid w:val="00D858F1"/>
    <w:rsid w:val="00D86FDC"/>
    <w:rsid w:val="00D87B53"/>
    <w:rsid w:val="00D87B64"/>
    <w:rsid w:val="00D9133B"/>
    <w:rsid w:val="00D9157D"/>
    <w:rsid w:val="00D91655"/>
    <w:rsid w:val="00D91DA7"/>
    <w:rsid w:val="00D96D8E"/>
    <w:rsid w:val="00D975BC"/>
    <w:rsid w:val="00D97E54"/>
    <w:rsid w:val="00DA030B"/>
    <w:rsid w:val="00DA034F"/>
    <w:rsid w:val="00DA079D"/>
    <w:rsid w:val="00DA1500"/>
    <w:rsid w:val="00DA2709"/>
    <w:rsid w:val="00DA2999"/>
    <w:rsid w:val="00DA3582"/>
    <w:rsid w:val="00DA500D"/>
    <w:rsid w:val="00DA6662"/>
    <w:rsid w:val="00DA7642"/>
    <w:rsid w:val="00DB1161"/>
    <w:rsid w:val="00DB1833"/>
    <w:rsid w:val="00DB2061"/>
    <w:rsid w:val="00DB285C"/>
    <w:rsid w:val="00DB4A89"/>
    <w:rsid w:val="00DB618B"/>
    <w:rsid w:val="00DB677F"/>
    <w:rsid w:val="00DB690E"/>
    <w:rsid w:val="00DB7427"/>
    <w:rsid w:val="00DB79FD"/>
    <w:rsid w:val="00DB7DD5"/>
    <w:rsid w:val="00DC0303"/>
    <w:rsid w:val="00DC178B"/>
    <w:rsid w:val="00DC480B"/>
    <w:rsid w:val="00DC4F90"/>
    <w:rsid w:val="00DC5D74"/>
    <w:rsid w:val="00DC63C2"/>
    <w:rsid w:val="00DC6BB7"/>
    <w:rsid w:val="00DC6D13"/>
    <w:rsid w:val="00DC7212"/>
    <w:rsid w:val="00DD10BA"/>
    <w:rsid w:val="00DD2583"/>
    <w:rsid w:val="00DD2A3A"/>
    <w:rsid w:val="00DD399E"/>
    <w:rsid w:val="00DD3C4D"/>
    <w:rsid w:val="00DD441C"/>
    <w:rsid w:val="00DD49F9"/>
    <w:rsid w:val="00DD558D"/>
    <w:rsid w:val="00DD579C"/>
    <w:rsid w:val="00DD6BCB"/>
    <w:rsid w:val="00DD6C2B"/>
    <w:rsid w:val="00DD7B6F"/>
    <w:rsid w:val="00DD7BC7"/>
    <w:rsid w:val="00DD7D32"/>
    <w:rsid w:val="00DE43AF"/>
    <w:rsid w:val="00DE4AD6"/>
    <w:rsid w:val="00DE507C"/>
    <w:rsid w:val="00DE5C53"/>
    <w:rsid w:val="00DE6007"/>
    <w:rsid w:val="00DE6B90"/>
    <w:rsid w:val="00DE6C1C"/>
    <w:rsid w:val="00DE6F82"/>
    <w:rsid w:val="00DF0A15"/>
    <w:rsid w:val="00DF0AAB"/>
    <w:rsid w:val="00DF12D7"/>
    <w:rsid w:val="00DF1CA9"/>
    <w:rsid w:val="00DF3B5B"/>
    <w:rsid w:val="00DF405D"/>
    <w:rsid w:val="00DF432B"/>
    <w:rsid w:val="00DF56EF"/>
    <w:rsid w:val="00DF6275"/>
    <w:rsid w:val="00DF7633"/>
    <w:rsid w:val="00DF76EB"/>
    <w:rsid w:val="00DF7C6D"/>
    <w:rsid w:val="00E01EC5"/>
    <w:rsid w:val="00E0213D"/>
    <w:rsid w:val="00E027B0"/>
    <w:rsid w:val="00E02B0F"/>
    <w:rsid w:val="00E04978"/>
    <w:rsid w:val="00E04FEC"/>
    <w:rsid w:val="00E06475"/>
    <w:rsid w:val="00E10961"/>
    <w:rsid w:val="00E10CB8"/>
    <w:rsid w:val="00E10DA6"/>
    <w:rsid w:val="00E1161A"/>
    <w:rsid w:val="00E143B9"/>
    <w:rsid w:val="00E14647"/>
    <w:rsid w:val="00E15E40"/>
    <w:rsid w:val="00E15F22"/>
    <w:rsid w:val="00E16886"/>
    <w:rsid w:val="00E16CD5"/>
    <w:rsid w:val="00E200AF"/>
    <w:rsid w:val="00E20477"/>
    <w:rsid w:val="00E20C21"/>
    <w:rsid w:val="00E20E5F"/>
    <w:rsid w:val="00E2167B"/>
    <w:rsid w:val="00E219C8"/>
    <w:rsid w:val="00E2239D"/>
    <w:rsid w:val="00E23522"/>
    <w:rsid w:val="00E2495F"/>
    <w:rsid w:val="00E25B71"/>
    <w:rsid w:val="00E263F0"/>
    <w:rsid w:val="00E272C2"/>
    <w:rsid w:val="00E306EA"/>
    <w:rsid w:val="00E31CD0"/>
    <w:rsid w:val="00E32784"/>
    <w:rsid w:val="00E3662B"/>
    <w:rsid w:val="00E36DB4"/>
    <w:rsid w:val="00E37E5A"/>
    <w:rsid w:val="00E401D2"/>
    <w:rsid w:val="00E40C8B"/>
    <w:rsid w:val="00E4110A"/>
    <w:rsid w:val="00E420F3"/>
    <w:rsid w:val="00E42A34"/>
    <w:rsid w:val="00E42E3C"/>
    <w:rsid w:val="00E440AD"/>
    <w:rsid w:val="00E44FFD"/>
    <w:rsid w:val="00E5039C"/>
    <w:rsid w:val="00E5218D"/>
    <w:rsid w:val="00E52714"/>
    <w:rsid w:val="00E5338A"/>
    <w:rsid w:val="00E53414"/>
    <w:rsid w:val="00E54055"/>
    <w:rsid w:val="00E54913"/>
    <w:rsid w:val="00E55BB8"/>
    <w:rsid w:val="00E562ED"/>
    <w:rsid w:val="00E56CB4"/>
    <w:rsid w:val="00E56F08"/>
    <w:rsid w:val="00E576AD"/>
    <w:rsid w:val="00E61489"/>
    <w:rsid w:val="00E620F4"/>
    <w:rsid w:val="00E62C9D"/>
    <w:rsid w:val="00E64D88"/>
    <w:rsid w:val="00E64F8C"/>
    <w:rsid w:val="00E65702"/>
    <w:rsid w:val="00E70395"/>
    <w:rsid w:val="00E707A6"/>
    <w:rsid w:val="00E70C92"/>
    <w:rsid w:val="00E7106F"/>
    <w:rsid w:val="00E72BB1"/>
    <w:rsid w:val="00E72C52"/>
    <w:rsid w:val="00E72F11"/>
    <w:rsid w:val="00E73A4D"/>
    <w:rsid w:val="00E7425D"/>
    <w:rsid w:val="00E74427"/>
    <w:rsid w:val="00E74550"/>
    <w:rsid w:val="00E7613C"/>
    <w:rsid w:val="00E7661A"/>
    <w:rsid w:val="00E76C43"/>
    <w:rsid w:val="00E77C4C"/>
    <w:rsid w:val="00E77FDD"/>
    <w:rsid w:val="00E833DB"/>
    <w:rsid w:val="00E8388E"/>
    <w:rsid w:val="00E8515A"/>
    <w:rsid w:val="00E85948"/>
    <w:rsid w:val="00E87735"/>
    <w:rsid w:val="00E9042C"/>
    <w:rsid w:val="00E912ED"/>
    <w:rsid w:val="00E916CD"/>
    <w:rsid w:val="00E9218C"/>
    <w:rsid w:val="00E9295A"/>
    <w:rsid w:val="00E9598F"/>
    <w:rsid w:val="00E95C81"/>
    <w:rsid w:val="00E95F24"/>
    <w:rsid w:val="00E96DD1"/>
    <w:rsid w:val="00E96F5F"/>
    <w:rsid w:val="00EA0898"/>
    <w:rsid w:val="00EA199E"/>
    <w:rsid w:val="00EA2B71"/>
    <w:rsid w:val="00EA3C72"/>
    <w:rsid w:val="00EA42C3"/>
    <w:rsid w:val="00EA47C5"/>
    <w:rsid w:val="00EA7B76"/>
    <w:rsid w:val="00EB0114"/>
    <w:rsid w:val="00EB2906"/>
    <w:rsid w:val="00EB2D6A"/>
    <w:rsid w:val="00EB416C"/>
    <w:rsid w:val="00EB5750"/>
    <w:rsid w:val="00EB5987"/>
    <w:rsid w:val="00EB62FE"/>
    <w:rsid w:val="00EB6344"/>
    <w:rsid w:val="00EB6AAA"/>
    <w:rsid w:val="00EC0E29"/>
    <w:rsid w:val="00EC0E2F"/>
    <w:rsid w:val="00EC31E0"/>
    <w:rsid w:val="00EC3831"/>
    <w:rsid w:val="00EC3E8A"/>
    <w:rsid w:val="00EC4018"/>
    <w:rsid w:val="00EC4822"/>
    <w:rsid w:val="00EC4C2D"/>
    <w:rsid w:val="00EC51A5"/>
    <w:rsid w:val="00EC7CD4"/>
    <w:rsid w:val="00EC7FC2"/>
    <w:rsid w:val="00ED0068"/>
    <w:rsid w:val="00ED430E"/>
    <w:rsid w:val="00ED4C76"/>
    <w:rsid w:val="00ED5AEA"/>
    <w:rsid w:val="00ED700E"/>
    <w:rsid w:val="00EE051E"/>
    <w:rsid w:val="00EE0AA7"/>
    <w:rsid w:val="00EE1116"/>
    <w:rsid w:val="00EE1B97"/>
    <w:rsid w:val="00EE3B18"/>
    <w:rsid w:val="00EE47B8"/>
    <w:rsid w:val="00EF0224"/>
    <w:rsid w:val="00EF238E"/>
    <w:rsid w:val="00EF2C48"/>
    <w:rsid w:val="00EF327A"/>
    <w:rsid w:val="00EF3550"/>
    <w:rsid w:val="00EF3B7E"/>
    <w:rsid w:val="00EF44AB"/>
    <w:rsid w:val="00EF44B0"/>
    <w:rsid w:val="00EF48BD"/>
    <w:rsid w:val="00EF5140"/>
    <w:rsid w:val="00EF58C9"/>
    <w:rsid w:val="00EF5A67"/>
    <w:rsid w:val="00EF5B80"/>
    <w:rsid w:val="00EF5C44"/>
    <w:rsid w:val="00EF5F3D"/>
    <w:rsid w:val="00EF7421"/>
    <w:rsid w:val="00EF750F"/>
    <w:rsid w:val="00EF7523"/>
    <w:rsid w:val="00EF7804"/>
    <w:rsid w:val="00EF7C2C"/>
    <w:rsid w:val="00F00083"/>
    <w:rsid w:val="00F00145"/>
    <w:rsid w:val="00F03A14"/>
    <w:rsid w:val="00F04C6F"/>
    <w:rsid w:val="00F0581A"/>
    <w:rsid w:val="00F06716"/>
    <w:rsid w:val="00F06B34"/>
    <w:rsid w:val="00F07E83"/>
    <w:rsid w:val="00F12C1E"/>
    <w:rsid w:val="00F12E7A"/>
    <w:rsid w:val="00F14A8C"/>
    <w:rsid w:val="00F15467"/>
    <w:rsid w:val="00F16C58"/>
    <w:rsid w:val="00F21166"/>
    <w:rsid w:val="00F215A4"/>
    <w:rsid w:val="00F21AF0"/>
    <w:rsid w:val="00F23E23"/>
    <w:rsid w:val="00F24602"/>
    <w:rsid w:val="00F25003"/>
    <w:rsid w:val="00F26307"/>
    <w:rsid w:val="00F26990"/>
    <w:rsid w:val="00F273F6"/>
    <w:rsid w:val="00F274C7"/>
    <w:rsid w:val="00F27763"/>
    <w:rsid w:val="00F27E01"/>
    <w:rsid w:val="00F3105C"/>
    <w:rsid w:val="00F31639"/>
    <w:rsid w:val="00F31F75"/>
    <w:rsid w:val="00F320DF"/>
    <w:rsid w:val="00F33010"/>
    <w:rsid w:val="00F33874"/>
    <w:rsid w:val="00F33EE0"/>
    <w:rsid w:val="00F34232"/>
    <w:rsid w:val="00F353A6"/>
    <w:rsid w:val="00F409E7"/>
    <w:rsid w:val="00F43391"/>
    <w:rsid w:val="00F43C57"/>
    <w:rsid w:val="00F44A8E"/>
    <w:rsid w:val="00F45A38"/>
    <w:rsid w:val="00F474E0"/>
    <w:rsid w:val="00F5101A"/>
    <w:rsid w:val="00F51391"/>
    <w:rsid w:val="00F51C7B"/>
    <w:rsid w:val="00F5270A"/>
    <w:rsid w:val="00F531AA"/>
    <w:rsid w:val="00F5329A"/>
    <w:rsid w:val="00F54DCD"/>
    <w:rsid w:val="00F55B51"/>
    <w:rsid w:val="00F55C60"/>
    <w:rsid w:val="00F55D19"/>
    <w:rsid w:val="00F55F76"/>
    <w:rsid w:val="00F56FD1"/>
    <w:rsid w:val="00F57E16"/>
    <w:rsid w:val="00F60084"/>
    <w:rsid w:val="00F6017C"/>
    <w:rsid w:val="00F60DD4"/>
    <w:rsid w:val="00F60E55"/>
    <w:rsid w:val="00F6148B"/>
    <w:rsid w:val="00F62A69"/>
    <w:rsid w:val="00F637D6"/>
    <w:rsid w:val="00F63A69"/>
    <w:rsid w:val="00F651F6"/>
    <w:rsid w:val="00F658BA"/>
    <w:rsid w:val="00F6721F"/>
    <w:rsid w:val="00F7048F"/>
    <w:rsid w:val="00F70A22"/>
    <w:rsid w:val="00F70D0E"/>
    <w:rsid w:val="00F7327F"/>
    <w:rsid w:val="00F73787"/>
    <w:rsid w:val="00F739A9"/>
    <w:rsid w:val="00F73ACC"/>
    <w:rsid w:val="00F74292"/>
    <w:rsid w:val="00F74444"/>
    <w:rsid w:val="00F74E26"/>
    <w:rsid w:val="00F75BE5"/>
    <w:rsid w:val="00F77CC6"/>
    <w:rsid w:val="00F77F5A"/>
    <w:rsid w:val="00F80D78"/>
    <w:rsid w:val="00F8506D"/>
    <w:rsid w:val="00F85189"/>
    <w:rsid w:val="00F8556F"/>
    <w:rsid w:val="00F85FA8"/>
    <w:rsid w:val="00F8657F"/>
    <w:rsid w:val="00F86815"/>
    <w:rsid w:val="00F86B7C"/>
    <w:rsid w:val="00F86BA5"/>
    <w:rsid w:val="00F8788F"/>
    <w:rsid w:val="00F87E14"/>
    <w:rsid w:val="00F9217A"/>
    <w:rsid w:val="00F92399"/>
    <w:rsid w:val="00F92EA8"/>
    <w:rsid w:val="00F93369"/>
    <w:rsid w:val="00F94CFB"/>
    <w:rsid w:val="00F957CC"/>
    <w:rsid w:val="00F9640D"/>
    <w:rsid w:val="00F9756F"/>
    <w:rsid w:val="00FA01B1"/>
    <w:rsid w:val="00FA1999"/>
    <w:rsid w:val="00FA1DA5"/>
    <w:rsid w:val="00FA42AD"/>
    <w:rsid w:val="00FA6002"/>
    <w:rsid w:val="00FB11BA"/>
    <w:rsid w:val="00FB2D74"/>
    <w:rsid w:val="00FB2FE9"/>
    <w:rsid w:val="00FB45D0"/>
    <w:rsid w:val="00FB532F"/>
    <w:rsid w:val="00FB7246"/>
    <w:rsid w:val="00FB7E59"/>
    <w:rsid w:val="00FC1508"/>
    <w:rsid w:val="00FC1A14"/>
    <w:rsid w:val="00FC1A5A"/>
    <w:rsid w:val="00FC344A"/>
    <w:rsid w:val="00FC39B6"/>
    <w:rsid w:val="00FC46A1"/>
    <w:rsid w:val="00FD1540"/>
    <w:rsid w:val="00FD2D1F"/>
    <w:rsid w:val="00FD38CD"/>
    <w:rsid w:val="00FD3A31"/>
    <w:rsid w:val="00FD43FA"/>
    <w:rsid w:val="00FD4746"/>
    <w:rsid w:val="00FD6A8B"/>
    <w:rsid w:val="00FD70F0"/>
    <w:rsid w:val="00FD72AA"/>
    <w:rsid w:val="00FD7857"/>
    <w:rsid w:val="00FD7949"/>
    <w:rsid w:val="00FD7C8C"/>
    <w:rsid w:val="00FD7DC6"/>
    <w:rsid w:val="00FE0A73"/>
    <w:rsid w:val="00FE14F7"/>
    <w:rsid w:val="00FE1B11"/>
    <w:rsid w:val="00FE3DB8"/>
    <w:rsid w:val="00FE423B"/>
    <w:rsid w:val="00FE46B3"/>
    <w:rsid w:val="00FE4838"/>
    <w:rsid w:val="00FE48FC"/>
    <w:rsid w:val="00FE565F"/>
    <w:rsid w:val="00FE778B"/>
    <w:rsid w:val="00FE7B9C"/>
    <w:rsid w:val="00FE7FF6"/>
    <w:rsid w:val="00FF1DD3"/>
    <w:rsid w:val="00FF41FD"/>
    <w:rsid w:val="00FF4395"/>
    <w:rsid w:val="00FF4908"/>
    <w:rsid w:val="00FF4B3D"/>
    <w:rsid w:val="00FF58BC"/>
    <w:rsid w:val="00FF6799"/>
    <w:rsid w:val="00FF6E90"/>
    <w:rsid w:val="00FF6EA4"/>
    <w:rsid w:val="00FF7433"/>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xmlns:v="urn:schemas-microsoft-com:vml" xmlns:o="urn:schemas-microsoft-com:office:office" spidmax="1026" v:ext="edit"/>
    <o:shapelayout xmlns:v="urn:schemas-microsoft-com:vml" xmlns:o="urn:schemas-microsoft-com:office:office" v:ext="edit">
      <o:idmap data="1" v:ext="edit"/>
    </o:shapelayout>
  </w:shapeDefaults>
  <w:decimalSymbol w:val="."/>
  <w:listSeparator w:val=","/>
  <w15:docId w15:val="{4DF1AFED-8056-445C-BC70-2DCFD75C5C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200" w:line="276" w:lineRule="auto"/>
    </w:pPr>
    <w:rPr>
      <w:sz w:val="22"/>
      <w:szCs w:val="22"/>
    </w:rPr>
  </w:style>
  <w:style w:type="paragraph" w:styleId="Heading1">
    <w:name w:val="heading 1"/>
    <w:basedOn w:val="Normal"/>
    <w:next w:val="Normal"/>
    <w:link w:val="Heading1Char"/>
    <w:uiPriority w:val="99"/>
    <w:qFormat/>
    <w:pPr>
      <w:keepNext/>
      <w:keepLines/>
      <w:spacing w:before="480" w:after="0"/>
      <w:outlineLvl w:val="0"/>
    </w:pPr>
    <w:rPr>
      <w:rFonts w:ascii="Cambria" w:eastAsia="Times New Roman" w:hAnsi="Cambria"/>
      <w:b/>
      <w:bCs/>
      <w:color w:val="365F91"/>
      <w:sz w:val="28"/>
      <w:szCs w:val="28"/>
    </w:rPr>
  </w:style>
  <w:style w:type="paragraph" w:styleId="Heading2">
    <w:name w:val="heading 2"/>
    <w:basedOn w:val="Normal"/>
    <w:next w:val="Normal"/>
    <w:link w:val="Heading2Char"/>
    <w:uiPriority w:val="99"/>
    <w:qFormat/>
    <w:locked/>
    <w:pPr>
      <w:keepNext/>
      <w:spacing w:before="240" w:after="60"/>
      <w:outlineLvl w:val="1"/>
    </w:pPr>
    <w:rPr>
      <w:rFonts w:ascii="Arial" w:hAnsi="Arial" w:cs="Arial"/>
      <w:b/>
      <w:bCs/>
      <w:i/>
      <w:i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Pr>
      <w:rFonts w:ascii="Cambria" w:hAnsi="Cambria" w:cs="Times New Roman"/>
      <w:b/>
      <w:bCs/>
      <w:color w:val="365F91"/>
      <w:sz w:val="28"/>
      <w:szCs w:val="28"/>
    </w:rPr>
  </w:style>
  <w:style w:type="character" w:customStyle="1" w:styleId="Heading2Char">
    <w:name w:val="Heading 2 Char"/>
    <w:basedOn w:val="DefaultParagraphFont"/>
    <w:link w:val="Heading2"/>
    <w:uiPriority w:val="99"/>
    <w:semiHidden/>
    <w:locked/>
    <w:rPr>
      <w:rFonts w:ascii="Cambria" w:hAnsi="Cambria" w:cs="Times New Roman"/>
      <w:b/>
      <w:bCs/>
      <w:i/>
      <w:iCs/>
      <w:sz w:val="28"/>
      <w:szCs w:val="28"/>
    </w:rPr>
  </w:style>
  <w:style w:type="paragraph" w:styleId="TOC1">
    <w:name w:val="toc 1"/>
    <w:basedOn w:val="Normal"/>
    <w:next w:val="Normal"/>
    <w:autoRedefine/>
    <w:uiPriority w:val="99"/>
    <w:pPr>
      <w:spacing w:after="100"/>
    </w:pPr>
  </w:style>
  <w:style w:type="character" w:styleId="Hyperlink">
    <w:name w:val="Hyperlink"/>
    <w:basedOn w:val="DefaultParagraphFont"/>
    <w:uiPriority w:val="99"/>
    <w:rPr>
      <w:rFonts w:cs="Times New Roman"/>
      <w:color w:val="0000FF"/>
      <w:u w:val="single"/>
    </w:rPr>
  </w:style>
  <w:style w:type="table" w:styleId="TableGrid">
    <w:name w:val="Table Grid"/>
    <w:basedOn w:val="TableNormal"/>
    <w:uiPriority w:val="99"/>
    <w:locked/>
    <w:pPr>
      <w:spacing w:after="200" w:line="276" w:lineRule="auto"/>
    </w:pPr>
    <w:rPr>
      <w:rFonts w:eastAsia="Times New Roman"/>
    </w:rPr>
    <w:tblPr>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
  </w:style>
  <w:style w:type="paragraph" w:styleId="Caption">
    <w:name w:val="caption"/>
    <w:basedOn w:val="Normal"/>
    <w:next w:val="Normal"/>
    <w:uiPriority w:val="99"/>
    <w:qFormat/>
    <w:locked/>
    <w:pPr>
      <w:spacing w:after="0" w:line="240" w:lineRule="auto"/>
    </w:pPr>
    <w:rPr>
      <w:rFonts w:ascii="Times New Roman" w:hAnsi="Times New Roman"/>
      <w:b/>
      <w:bCs/>
      <w:sz w:val="20"/>
      <w:szCs w:val="20"/>
    </w:rPr>
  </w:style>
  <w:style w:type="paragraph" w:styleId="Header">
    <w:name w:val="header"/>
    <w:basedOn w:val="Normal"/>
    <w:link w:val="HeaderChar"/>
    <w:uiPriority w:val="99"/>
    <w:pPr>
      <w:tabs>
        <w:tab w:val="center" w:pos="4320"/>
        <w:tab w:val="right" w:pos="8640"/>
      </w:tabs>
    </w:pPr>
  </w:style>
  <w:style w:type="character" w:customStyle="1" w:styleId="HeaderChar">
    <w:name w:val="Header Char"/>
    <w:basedOn w:val="DefaultParagraphFont"/>
    <w:link w:val="Header"/>
    <w:uiPriority w:val="99"/>
    <w:semiHidden/>
    <w:locked/>
    <w:rPr>
      <w:rFonts w:cs="Times New Roman"/>
    </w:rPr>
  </w:style>
  <w:style w:type="paragraph" w:styleId="Footer">
    <w:name w:val="footer"/>
    <w:basedOn w:val="Normal"/>
    <w:link w:val="FooterChar"/>
    <w:uiPriority w:val="99"/>
    <w:pPr>
      <w:tabs>
        <w:tab w:val="center" w:pos="4320"/>
        <w:tab w:val="right" w:pos="8640"/>
      </w:tabs>
    </w:pPr>
  </w:style>
  <w:style w:type="character" w:customStyle="1" w:styleId="FooterChar">
    <w:name w:val="Footer Char"/>
    <w:basedOn w:val="DefaultParagraphFont"/>
    <w:link w:val="Footer"/>
    <w:uiPriority w:val="99"/>
    <w:semiHidden/>
    <w:locked/>
    <w:rPr>
      <w:rFonts w:cs="Times New Roman"/>
    </w:rPr>
  </w:style>
  <w:style w:type="character" w:styleId="PageNumber">
    <w:name w:val="page number"/>
    <w:basedOn w:val="DefaultParagraphFont"/>
    <w:uiPriority w:val="99"/>
    <w:rPr>
      <w:rFonts w:cs="Times New Roman"/>
    </w:rPr>
  </w:style>
  <w:style w:type="paragraph" w:styleId="TOC2">
    <w:name w:val="toc 2"/>
    <w:basedOn w:val="Normal"/>
    <w:next w:val="Normal"/>
    <w:autoRedefine/>
    <w:uiPriority w:val="99"/>
    <w:semiHidden/>
    <w:locked/>
    <w:pPr>
      <w:ind w:left="220"/>
    </w:pPr>
  </w:style>
  <w:style w:type="paragraph" w:styleId="DocumentMap">
    <w:name w:val="Document Map"/>
    <w:basedOn w:val="Normal"/>
    <w:link w:val="DocumentMapChar"/>
    <w:uiPriority w:val="99"/>
    <w:semiHidden/>
    <w:pPr>
      <w:shd w:val="clear" w:color="auto" w:fill="000080"/>
    </w:pPr>
    <w:rPr>
      <w:rFonts w:ascii="Tahoma" w:hAnsi="Tahoma" w:cs="Tahoma"/>
      <w:sz w:val="20"/>
      <w:szCs w:val="20"/>
    </w:rPr>
  </w:style>
  <w:style w:type="character" w:customStyle="1" w:styleId="DocumentMapChar">
    <w:name w:val="Document Map Char"/>
    <w:basedOn w:val="DefaultParagraphFont"/>
    <w:link w:val="DocumentMap"/>
    <w:uiPriority w:val="99"/>
    <w:semiHidden/>
    <w:locked/>
    <w:rPr>
      <w:rFonts w:ascii="Tahoma" w:hAnsi="Tahoma" w:cs="Tahoma"/>
      <w:lang w:val="en-US" w:eastAsia="en-US" w:bidi="ar-SA"/>
    </w:rPr>
  </w:style>
  <w:style w:type="paragraph" w:styleId="ListParagraph">
    <w:name w:val="List Paragraph"/>
    <w:basedOn w:val="Normal"/>
    <w:uiPriority w:val="34"/>
    <w:qFormat/>
    <w:pPr>
      <w:ind w:left="720"/>
      <w:contextualSpacing/>
    </w:pPr>
  </w:style>
  <w:style w:type="character" w:styleId="Strong">
    <w:name w:val="Strong"/>
    <w:basedOn w:val="DefaultParagraphFont"/>
    <w:uiPriority w:val="22"/>
    <w:qFormat/>
    <w:locked/>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63085376">
      <w:bodyDiv w:val="1"/>
      <w:marLeft w:val="0"/>
      <w:marRight w:val="0"/>
      <w:marTop w:val="0"/>
      <w:marBottom w:val="0"/>
      <w:divBdr>
        <w:top w:val="none" w:sz="0" w:space="0" w:color="auto"/>
        <w:left w:val="none" w:sz="0" w:space="0" w:color="auto"/>
        <w:bottom w:val="none" w:sz="0" w:space="0" w:color="auto"/>
        <w:right w:val="none" w:sz="0" w:space="0" w:color="auto"/>
      </w:divBdr>
    </w:div>
    <w:div w:id="839657285">
      <w:bodyDiv w:val="1"/>
      <w:marLeft w:val="0"/>
      <w:marRight w:val="0"/>
      <w:marTop w:val="0"/>
      <w:marBottom w:val="0"/>
      <w:divBdr>
        <w:top w:val="none" w:sz="0" w:space="0" w:color="auto"/>
        <w:left w:val="none" w:sz="0" w:space="0" w:color="auto"/>
        <w:bottom w:val="none" w:sz="0" w:space="0" w:color="auto"/>
        <w:right w:val="none" w:sz="0" w:space="0" w:color="auto"/>
      </w:divBdr>
    </w:div>
    <w:div w:id="1256792105">
      <w:bodyDiv w:val="1"/>
      <w:marLeft w:val="0"/>
      <w:marRight w:val="0"/>
      <w:marTop w:val="0"/>
      <w:marBottom w:val="0"/>
      <w:divBdr>
        <w:top w:val="none" w:sz="0" w:space="0" w:color="auto"/>
        <w:left w:val="none" w:sz="0" w:space="0" w:color="auto"/>
        <w:bottom w:val="none" w:sz="0" w:space="0" w:color="auto"/>
        <w:right w:val="none" w:sz="0" w:space="0" w:color="auto"/>
      </w:divBdr>
    </w:div>
    <w:div w:id="15955059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Relationships xmlns="http://schemas.openxmlformats.org/package/2006/relationships"><Relationship Target="header1.xml" Type="http://schemas.openxmlformats.org/officeDocument/2006/relationships/header" Id="rId8"></Relationship><Relationship Target="footer3.xml" Type="http://schemas.openxmlformats.org/officeDocument/2006/relationships/footer" Id="rId13"></Relationship><Relationship Target="footer5.xml" Type="http://schemas.openxmlformats.org/officeDocument/2006/relationships/footer" Id="rId18"></Relationship><Relationship Target="footer8.xml" Type="http://schemas.openxmlformats.org/officeDocument/2006/relationships/footer" Id="rId26"></Relationship><Relationship Target="styles.xml" Type="http://schemas.openxmlformats.org/officeDocument/2006/relationships/styles" Id="rId3"></Relationship><Relationship Target="footer6.xml" Type="http://schemas.openxmlformats.org/officeDocument/2006/relationships/footer" Id="rId21"></Relationship><Relationship Target="endnotes.xml" Type="http://schemas.openxmlformats.org/officeDocument/2006/relationships/endnotes" Id="rId7"></Relationship><Relationship Target="header3.xml" Type="http://schemas.openxmlformats.org/officeDocument/2006/relationships/header" Id="rId12"></Relationship><Relationship Target="header6.xml" Type="http://schemas.openxmlformats.org/officeDocument/2006/relationships/header" Id="rId17"></Relationship><Relationship Target="header11.xml" Type="http://schemas.openxmlformats.org/officeDocument/2006/relationships/header" Id="rId25"></Relationship><Relationship Target="numbering.xml" Type="http://schemas.openxmlformats.org/officeDocument/2006/relationships/numbering" Id="rId2"></Relationship><Relationship Target="footer4.xml" Type="http://schemas.openxmlformats.org/officeDocument/2006/relationships/footer" Id="rId16"></Relationship><Relationship Target="header8.xml" Type="http://schemas.openxmlformats.org/officeDocument/2006/relationships/header" Id="rId20"></Relationship><Relationship Target="fontTable.xml" Type="http://schemas.openxmlformats.org/officeDocument/2006/relationships/fontTable" Id="rId29"></Relationship><Relationship Target="../customXml/item1.xml" Type="http://schemas.openxmlformats.org/officeDocument/2006/relationships/customXml" Id="rId1"></Relationship><Relationship Target="footnotes.xml" Type="http://schemas.openxmlformats.org/officeDocument/2006/relationships/footnotes" Id="rId6"></Relationship><Relationship Target="footer2.xml" Type="http://schemas.openxmlformats.org/officeDocument/2006/relationships/footer" Id="rId11"></Relationship><Relationship Target="header10.xml" Type="http://schemas.openxmlformats.org/officeDocument/2006/relationships/header" Id="rId24"></Relationship><Relationship Target="webSettings.xml" Type="http://schemas.openxmlformats.org/officeDocument/2006/relationships/webSettings" Id="rId5"></Relationship><Relationship Target="header5.xml" Type="http://schemas.openxmlformats.org/officeDocument/2006/relationships/header" Id="rId15"></Relationship><Relationship Target="footer7.xml" Type="http://schemas.openxmlformats.org/officeDocument/2006/relationships/footer" Id="rId23"></Relationship><Relationship Target="footer9.xml" Type="http://schemas.openxmlformats.org/officeDocument/2006/relationships/footer" Id="rId28"></Relationship><Relationship Target="footer1.xml" Type="http://schemas.openxmlformats.org/officeDocument/2006/relationships/footer" Id="rId10"></Relationship><Relationship Target="header7.xml" Type="http://schemas.openxmlformats.org/officeDocument/2006/relationships/header" Id="rId19"></Relationship><Relationship Target="settings.xml" Type="http://schemas.openxmlformats.org/officeDocument/2006/relationships/settings" Id="rId4"></Relationship><Relationship Target="header2.xml" Type="http://schemas.openxmlformats.org/officeDocument/2006/relationships/header" Id="rId9"></Relationship><Relationship Target="header4.xml" Type="http://schemas.openxmlformats.org/officeDocument/2006/relationships/header" Id="rId14"></Relationship><Relationship Target="header9.xml" Type="http://schemas.openxmlformats.org/officeDocument/2006/relationships/header" Id="rId22"></Relationship><Relationship Target="header12.xml" Type="http://schemas.openxmlformats.org/officeDocument/2006/relationships/header" Id="rId27"></Relationship><Relationship Target="theme/theme1.xml" Type="http://schemas.openxmlformats.org/officeDocument/2006/relationships/theme" Id="rId30"></Relationship><Relationship Target="media/document_image_rId31.png" Type="http://schemas.openxmlformats.org/officeDocument/2006/relationships/image" Id="rId31"/><Relationship Target="media/document_image_rId32.jpeg" Type="http://schemas.openxmlformats.org/officeDocument/2006/relationships/image" Id="rId32"/><Relationship Target="media/document_image_rId33.jpeg" Type="http://schemas.openxmlformats.org/officeDocument/2006/relationships/image" Id="rId33"/><Relationship Target="media/document_image_rId34.jpeg" Type="http://schemas.openxmlformats.org/officeDocument/2006/relationships/image" Id="rId34"/><Relationship Target="media/document_image_rId35.jpeg" Type="http://schemas.openxmlformats.org/officeDocument/2006/relationships/image" Id="rId35"/><Relationship Target="media/document_image_rId36.jpeg" Type="http://schemas.openxmlformats.org/officeDocument/2006/relationships/image" Id="rId36"/><Relationship Target="media/document_image_rId37.jpeg" Type="http://schemas.openxmlformats.org/officeDocument/2006/relationships/image" Id="rId37"/><Relationship Target="media/document_image_rId38.jpeg" Type="http://schemas.openxmlformats.org/officeDocument/2006/relationships/image" Id="rId38"/><Relationship Target="media/document_image_rId39.jpeg" Type="http://schemas.openxmlformats.org/officeDocument/2006/relationships/image" Id="rId39"/><Relationship Target="media/document_image_rId40.jpeg" Type="http://schemas.openxmlformats.org/officeDocument/2006/relationships/image" Id="rId40"/><Relationship Target="media/document_image_rId41.jpeg" Type="http://schemas.openxmlformats.org/officeDocument/2006/relationships/image" Id="rId41"/><Relationship Target="media/document_image_rId42.jpeg" Type="http://schemas.openxmlformats.org/officeDocument/2006/relationships/image" Id="rId42"/><Relationship Target="media/document_image_rId43.jpeg" Type="http://schemas.openxmlformats.org/officeDocument/2006/relationships/image" Id="rId43"/><Relationship Target="media/document_image_rId44.jpeg" Type="http://schemas.openxmlformats.org/officeDocument/2006/relationships/image" Id="rId44"/><Relationship Target="media/document_image_rId45.jpeg" Type="http://schemas.openxmlformats.org/officeDocument/2006/relationships/image" Id="rId45"/><Relationship Target="media/document_image_rId46.jpeg" Type="http://schemas.openxmlformats.org/officeDocument/2006/relationships/image" Id="rId46"/><Relationship Target="media/document_image_rId47.jpeg" Type="http://schemas.openxmlformats.org/officeDocument/2006/relationships/image" Id="rId47"/><Relationship Target="media/document_image_rId48.jpeg" Type="http://schemas.openxmlformats.org/officeDocument/2006/relationships/image" Id="rId48"/><Relationship Target="media/document_image_rId49.jpeg" Type="http://schemas.openxmlformats.org/officeDocument/2006/relationships/image" Id="rId49"/><Relationship Target="media/document_image_rId50.jpeg" Type="http://schemas.openxmlformats.org/officeDocument/2006/relationships/image" Id="rId50"/><Relationship Target="media/document_image_rId51.jpeg" Type="http://schemas.openxmlformats.org/officeDocument/2006/relationships/image" Id="rId51"/><Relationship Target="media/document_image_rId52.jpeg" Type="http://schemas.openxmlformats.org/officeDocument/2006/relationships/image" Id="rId52"/><Relationship Target="media/document_image_rId53.jpeg" Type="http://schemas.openxmlformats.org/officeDocument/2006/relationships/image" Id="rId53"/><Relationship Target="media/document_image_rId54.jpeg" Type="http://schemas.openxmlformats.org/officeDocument/2006/relationships/image" Id="rId54"/><Relationship Target="media/document_image_rId55.jpeg" Type="http://schemas.openxmlformats.org/officeDocument/2006/relationships/image" Id="rId55"/><Relationship Target="media/document_image_rId56.jpeg" Type="http://schemas.openxmlformats.org/officeDocument/2006/relationships/image" Id="rId56"/><Relationship Target="media/document_image_rId57.jpeg" Type="http://schemas.openxmlformats.org/officeDocument/2006/relationships/image" Id="rId57"/><Relationship Target="media/document_image_rId58.jpeg" Type="http://schemas.openxmlformats.org/officeDocument/2006/relationships/image" Id="rId58"/><Relationship Target="media/document_image_rId59.jpeg" Type="http://schemas.openxmlformats.org/officeDocument/2006/relationships/image" Id="rId59"/><Relationship Target="media/document_image_rId60.jpeg" Type="http://schemas.openxmlformats.org/officeDocument/2006/relationships/image" Id="rId60"/><Relationship Target="media/document_image_rId61.jpeg" Type="http://schemas.openxmlformats.org/officeDocument/2006/relationships/image" Id="rId61"/><Relationship Target="media/document_image_rId62.jpeg" Type="http://schemas.openxmlformats.org/officeDocument/2006/relationships/image" Id="rId62"/><Relationship Target="media/document_image_rId63.jpeg" Type="http://schemas.openxmlformats.org/officeDocument/2006/relationships/image" Id="rId63"/><Relationship Target="media/document_image_rId64.jpeg" Type="http://schemas.openxmlformats.org/officeDocument/2006/relationships/image" Id="rId64"/><Relationship Target="media/document_image_rId65.jpeg" Type="http://schemas.openxmlformats.org/officeDocument/2006/relationships/image" Id="rId65"/><Relationship Target="media/document_image_rId66.jpeg" Type="http://schemas.openxmlformats.org/officeDocument/2006/relationships/image" Id="rId66"/><Relationship Target="media/document_image_rId67.jpeg" Type="http://schemas.openxmlformats.org/officeDocument/2006/relationships/image" Id="rId67"/><Relationship Target="media/document_image_rId68.jpeg" Type="http://schemas.openxmlformats.org/officeDocument/2006/relationships/image" Id="rId68"/><Relationship Target="media/document_image_rId69.jpeg" Type="http://schemas.openxmlformats.org/officeDocument/2006/relationships/image" Id="rId69"/><Relationship Target="media/document_image_rId70.jpeg" Type="http://schemas.openxmlformats.org/officeDocument/2006/relationships/image" Id="rId70"/><Relationship Target="media/document_image_rId71.jpeg" Type="http://schemas.openxmlformats.org/officeDocument/2006/relationships/image" Id="rId71"/><Relationship Target="media/document_image_rId72.jpeg" Type="http://schemas.openxmlformats.org/officeDocument/2006/relationships/image" Id="rId72"/><Relationship Target="media/document_image_rId73.jpeg" Type="http://schemas.openxmlformats.org/officeDocument/2006/relationships/image" Id="rId73"/><Relationship Target="media/document_image_rId74.jpeg" Type="http://schemas.openxmlformats.org/officeDocument/2006/relationships/image" Id="rId74"/><Relationship Target="media/document_image_rId75.jpeg" Type="http://schemas.openxmlformats.org/officeDocument/2006/relationships/image" Id="rId75"/><Relationship Target="media/document_image_rId76.jpeg" Type="http://schemas.openxmlformats.org/officeDocument/2006/relationships/image" Id="rId76"/><Relationship Target="media/document_image_rId77.jpeg" Type="http://schemas.openxmlformats.org/officeDocument/2006/relationships/image" Id="rId77"/><Relationship Target="media/document_image_rId78.jpeg" Type="http://schemas.openxmlformats.org/officeDocument/2006/relationships/image" Id="rId78"/><Relationship Target="media/document_image_rId79.jpeg" Type="http://schemas.openxmlformats.org/officeDocument/2006/relationships/image" Id="rId79"/><Relationship Target="media/document_image_rId80.jpeg" Type="http://schemas.openxmlformats.org/officeDocument/2006/relationships/image" Id="rId80"/><Relationship Target="media/document_image_rId81.jpeg" Type="http://schemas.openxmlformats.org/officeDocument/2006/relationships/image" Id="rId81"/><Relationship Target="media/document_image_rId82.jpeg" Type="http://schemas.openxmlformats.org/officeDocument/2006/relationships/image" Id="rId82"/><Relationship Target="media/document_image_rId83.jpeg" Type="http://schemas.openxmlformats.org/officeDocument/2006/relationships/image" Id="rId83"/><Relationship Target="media/document_image_rId84.jpeg" Type="http://schemas.openxmlformats.org/officeDocument/2006/relationships/image" Id="rId84"/><Relationship Target="media/document_image_rId85.jpeg" Type="http://schemas.openxmlformats.org/officeDocument/2006/relationships/image" Id="rId85"/><Relationship Target="media/document_image_rId86.jpeg" Type="http://schemas.openxmlformats.org/officeDocument/2006/relationships/image" Id="rId86"/><Relationship Target="media/document_image_rId87.jpeg" Type="http://schemas.openxmlformats.org/officeDocument/2006/relationships/image" Id="rId87"/><Relationship Target="media/document_image_rId88.jpeg" Type="http://schemas.openxmlformats.org/officeDocument/2006/relationships/image" Id="rId88"/><Relationship Target="media/document_image_rId89.jpeg" Type="http://schemas.openxmlformats.org/officeDocument/2006/relationships/image" Id="rId89"/><Relationship Target="media/document_image_rId90.jpeg" Type="http://schemas.openxmlformats.org/officeDocument/2006/relationships/image" Id="rId90"/><Relationship Target="media/document_image_rId91.jpeg" Type="http://schemas.openxmlformats.org/officeDocument/2006/relationships/image" Id="rId91"/><Relationship Target="media/document_image_rId92.jpeg" Type="http://schemas.openxmlformats.org/officeDocument/2006/relationships/image" Id="rId92"/><Relationship Target="media/document_image_rId93.jpeg" Type="http://schemas.openxmlformats.org/officeDocument/2006/relationships/image" Id="rId93"/><Relationship Target="media/document_image_rId94.jpeg" Type="http://schemas.openxmlformats.org/officeDocument/2006/relationships/image" Id="rId94"/><Relationship Target="media/document_image_rId95.jpeg" Type="http://schemas.openxmlformats.org/officeDocument/2006/relationships/image" Id="rId95"/><Relationship Target="media/document_image_rId96.jpeg" Type="http://schemas.openxmlformats.org/officeDocument/2006/relationships/image" Id="rId96"/><Relationship Target="media/document_image_rId97.jpeg" Type="http://schemas.openxmlformats.org/officeDocument/2006/relationships/image" Id="rId97"/><Relationship Target="media/document_image_rId98.jpeg" Type="http://schemas.openxmlformats.org/officeDocument/2006/relationships/image" Id="rId98"/><Relationship Target="media/document_image_rId99.jpeg" Type="http://schemas.openxmlformats.org/officeDocument/2006/relationships/image" Id="rId99"/><Relationship Target="media/document_image_rId100.jpeg" Type="http://schemas.openxmlformats.org/officeDocument/2006/relationships/image" Id="rId100"/><Relationship Target="media/document_image_rId101.jpeg" Type="http://schemas.openxmlformats.org/officeDocument/2006/relationships/image" Id="rId101"/><Relationship Target="media/document_image_rId102.jpeg" Type="http://schemas.openxmlformats.org/officeDocument/2006/relationships/image" Id="rId102"/><Relationship Target="media/document_image_rId103.jpeg" Type="http://schemas.openxmlformats.org/officeDocument/2006/relationships/image" Id="rId103"/><Relationship Target="media/document_image_rId104.jpeg" Type="http://schemas.openxmlformats.org/officeDocument/2006/relationships/image" Id="rId104"/><Relationship Target="media/document_image_rId105.jpeg" Type="http://schemas.openxmlformats.org/officeDocument/2006/relationships/image" Id="rId105"/><Relationship Target="media/document_image_rId106.jpeg" Type="http://schemas.openxmlformats.org/officeDocument/2006/relationships/image" Id="rId106"/><Relationship Target="media/document_image_rId107.jpeg" Type="http://schemas.openxmlformats.org/officeDocument/2006/relationships/image" Id="rId107"/><Relationship Target="media/document_image_rId108.jpeg" Type="http://schemas.openxmlformats.org/officeDocument/2006/relationships/image" Id="rId108"/><Relationship Target="media/document_image_rId109.jpeg" Type="http://schemas.openxmlformats.org/officeDocument/2006/relationships/image" Id="rId109"/><Relationship Target="media/document_image_rId110.jpeg" Type="http://schemas.openxmlformats.org/officeDocument/2006/relationships/image" Id="rId110"/><Relationship Target="media/document_image_rId111.jpeg" Type="http://schemas.openxmlformats.org/officeDocument/2006/relationships/image" Id="rId111"/><Relationship Target="media/document_image_rId112.jpeg" Type="http://schemas.openxmlformats.org/officeDocument/2006/relationships/image" Id="rId112"/><Relationship Target="media/document_image_rId113.jpeg" Type="http://schemas.openxmlformats.org/officeDocument/2006/relationships/image" Id="rId113"/><Relationship Target="media/document_image_rId114.jpeg" Type="http://schemas.openxmlformats.org/officeDocument/2006/relationships/image" Id="rId114"/><Relationship Target="media/document_image_rId115.jpeg" Type="http://schemas.openxmlformats.org/officeDocument/2006/relationships/image" Id="rId115"/><Relationship Target="media/document_image_rId116.jpeg" Type="http://schemas.openxmlformats.org/officeDocument/2006/relationships/image" Id="rId116"/><Relationship Target="media/document_image_rId117.jpeg" Type="http://schemas.openxmlformats.org/officeDocument/2006/relationships/image" Id="rId117"/><Relationship Target="media/document_image_rId118.jpeg" Type="http://schemas.openxmlformats.org/officeDocument/2006/relationships/image" Id="rId118"/><Relationship Target="media/document_image_rId119.jpeg" Type="http://schemas.openxmlformats.org/officeDocument/2006/relationships/image" Id="rId119"/><Relationship Target="media/document_image_rId120.jpeg" Type="http://schemas.openxmlformats.org/officeDocument/2006/relationships/image" Id="rId120"/><Relationship Target="media/document_image_rId121.jpeg" Type="http://schemas.openxmlformats.org/officeDocument/2006/relationships/image" Id="rId121"/><Relationship Target="media/document_image_rId122.jpeg" Type="http://schemas.openxmlformats.org/officeDocument/2006/relationships/image" Id="rId122"/><Relationship Target="media/document_image_rId123.jpeg" Type="http://schemas.openxmlformats.org/officeDocument/2006/relationships/image" Id="rId123"/><Relationship Target="media/document_image_rId124.jpeg" Type="http://schemas.openxmlformats.org/officeDocument/2006/relationships/image" Id="rId124"/></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Relationships xmlns="http://schemas.openxmlformats.org/package/2006/relationships"><Relationship Target="itemProps1.xml" Type="http://schemas.openxmlformats.org/officeDocument/2006/relationships/customXmlProps" Id="rId1"></Relationship></Relationships>
</file>

<file path=customXml/item1.xml><?xml version="1.0" encoding="utf-8"?>
<ns26:Sources xmlns:ns26="http://schemas.openxmlformats.org/officeDocument/2006/bibliography" SelectedStyle="\APA.XSL" StyleName="APA Fifth Edition"/>
</file>

<file path=customXml/itemProps1.xml><?xml version="1.0" encoding="utf-8"?>
<ds:datastoreItem xmlns:ds="http://schemas.openxmlformats.org/officeDocument/2006/customXml" ds:itemID="{43EA1CF2-530B-4F7A-BE95-263A5B44257E}">
  <ds:schemaRefs>
    <ds:schemaRef ds:uri="http://schemas.openxmlformats.org/officeDocument/2006/bibliography"/>
  </ds:schemaRefs>
</ds:datastoreItem>
</file>

<file path=docProps/app.xml><?xml version="1.0" encoding="utf-8"?>
<properties:Properties xmlns:vt="http://schemas.openxmlformats.org/officeDocument/2006/docPropsVTypes" xmlns:properties="http://schemas.openxmlformats.org/officeDocument/2006/extended-properties">
  <properties:Template>Normal</properties:Template>
  <properties:Company>Microsoft</properties:Company>
  <properties:Pages>63</properties:Pages>
  <properties:Words>10329</properties:Words>
  <properties:Characters>58878</properties:Characters>
  <properties:Lines>490</properties:Lines>
  <properties:Paragraphs>138</properties:Paragraphs>
  <properties:TotalTime>202</properties:TotalTime>
  <properties:ScaleCrop>false</properties:ScaleCrop>
  <properties:HeadingPairs>
    <vt:vector baseType="variant" size="2">
      <vt:variant>
        <vt:lpstr>Title</vt:lpstr>
      </vt:variant>
      <vt:variant>
        <vt:i4>1</vt:i4>
      </vt:variant>
    </vt:vector>
  </properties:HeadingPairs>
  <properties:TitlesOfParts>
    <vt:vector baseType="lpstr" size="1">
      <vt:lpstr>Here is some text  </vt:lpstr>
    </vt:vector>
  </properties:TitlesOfParts>
  <properties:LinksUpToDate>false</properties:LinksUpToDate>
  <properties:CharactersWithSpaces>69069</properties:CharactersWithSpaces>
  <properties:SharedDoc>false</properties:SharedDoc>
  <properties:HyperlinksChanged>false</properties:HyperlinksChanged>
  <properties:Application>docx4j</properties:Application>
  <properties:AppVersion>2.7.1</properties:AppVersion>
  <properties:DocSecurity>0</properties:DocSecurity>
</properties:Properties>
</file>

<file path=docProps/core.xml><?xml version="1.0" encoding="utf-8"?>
<cp:coreProperties xmlns:cp="http://schemas.openxmlformats.org/package/2006/metadata/core-properties" xmlns:dcterms="http://purl.org/dc/terms/" xmlns:dc="http://purl.org/dc/elements/1.1/">
  <dcterms:created xmlns:xsi="http://www.w3.org/2001/XMLSchema-instance" xsi:type="dcterms:W3CDTF">2012-09-25T17:23:00Z</dcterms:created>
  <dc:creator>Rocio</dc:creator>
  <dc:description/>
  <cp:keywords/>
  <cp:lastModifiedBy>docx4j</cp:lastModifiedBy>
  <dcterms:modified xmlns:xsi="http://www.w3.org/2001/XMLSchema-instance" xsi:type="dcterms:W3CDTF">2020-09-15T17:39:00Z</dcterms:modified>
  <cp:revision>179</cp:revision>
  <dc:subject/>
  <dc:title>Here is some text  </dc:title>
</cp:coreProperties>
</file>